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7EAF1" w14:textId="0E54C2E4" w:rsidR="00560014" w:rsidRPr="00A74CEA" w:rsidRDefault="00560014" w:rsidP="00A74CEA">
      <w:pPr>
        <w:pStyle w:val="Title"/>
      </w:pPr>
      <w:r w:rsidRPr="00A74CEA">
        <w:t>Using electronic health records (EHR) data: Data readiness and FAIR principles</w:t>
      </w:r>
    </w:p>
    <w:p w14:paraId="67215019" w14:textId="77777777" w:rsidR="00A74CEA" w:rsidRDefault="003A1B7D" w:rsidP="00A74CEA">
      <w:pPr>
        <w:pStyle w:val="Heading1"/>
      </w:pPr>
      <w:r>
        <w:t>Course organizers</w:t>
      </w:r>
    </w:p>
    <w:p w14:paraId="7D2D6B67" w14:textId="30206DCE" w:rsidR="00560014" w:rsidRDefault="00560014" w:rsidP="00A74CEA">
      <w:r w:rsidRPr="00A74CEA">
        <w:rPr>
          <w:b/>
          <w:bCs/>
        </w:rPr>
        <w:t>Kerry Goetz, MS,</w:t>
      </w:r>
      <w:r w:rsidRPr="00A74CEA">
        <w:t xml:space="preserve"> National Eye Institute (NEI)</w:t>
      </w:r>
      <w:r w:rsidRPr="00A74CEA">
        <w:br/>
      </w:r>
      <w:r w:rsidRPr="00A74CEA">
        <w:rPr>
          <w:b/>
          <w:bCs/>
        </w:rPr>
        <w:t>Michelle Hribar, PhD, MS,</w:t>
      </w:r>
      <w:r w:rsidRPr="00A74CEA">
        <w:t xml:space="preserve"> Oregon Health &amp; Science University (OHSU)/National Eye Institute (NEI)</w:t>
      </w:r>
    </w:p>
    <w:p w14:paraId="0108F5FB" w14:textId="77777777" w:rsidR="005C6DCC" w:rsidRDefault="00B928BB" w:rsidP="005C6DCC">
      <w:pPr>
        <w:pStyle w:val="Heading1"/>
      </w:pPr>
      <w:r w:rsidRPr="00A74CEA">
        <w:t>Presentations</w:t>
      </w:r>
    </w:p>
    <w:p w14:paraId="7B366735" w14:textId="5EE48D2E" w:rsidR="00B928BB" w:rsidRDefault="00B928BB" w:rsidP="005C6DCC">
      <w:r>
        <w:t xml:space="preserve">Presenters and presentations may change. </w:t>
      </w:r>
    </w:p>
    <w:tbl>
      <w:tblPr>
        <w:tblW w:w="10601" w:type="dxa"/>
        <w:tblInd w:w="115"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top w:w="115" w:type="dxa"/>
          <w:left w:w="115" w:type="dxa"/>
          <w:bottom w:w="115" w:type="dxa"/>
          <w:right w:w="115" w:type="dxa"/>
        </w:tblCellMar>
        <w:tblLook w:val="04A0" w:firstRow="1" w:lastRow="0" w:firstColumn="1" w:lastColumn="0" w:noHBand="0" w:noVBand="1"/>
      </w:tblPr>
      <w:tblGrid>
        <w:gridCol w:w="1619"/>
        <w:gridCol w:w="4069"/>
        <w:gridCol w:w="4913"/>
      </w:tblGrid>
      <w:tr w:rsidR="0049467F" w:rsidRPr="0021325B" w14:paraId="0C5CD7A0" w14:textId="77777777" w:rsidTr="005C6DCC">
        <w:trPr>
          <w:cantSplit/>
          <w:trHeight w:val="248"/>
          <w:tblHeader/>
        </w:trPr>
        <w:tc>
          <w:tcPr>
            <w:tcW w:w="1619" w:type="dxa"/>
            <w:tcBorders>
              <w:top w:val="single" w:sz="6" w:space="0" w:color="00204E"/>
              <w:left w:val="single" w:sz="6" w:space="0" w:color="00204E"/>
              <w:bottom w:val="single" w:sz="6" w:space="0" w:color="00204E"/>
              <w:right w:val="single" w:sz="6" w:space="0" w:color="00204E"/>
            </w:tcBorders>
            <w:shd w:val="clear" w:color="auto" w:fill="00204E"/>
          </w:tcPr>
          <w:p w14:paraId="4B4C45AF" w14:textId="30523DFF" w:rsidR="0049467F" w:rsidRPr="0021325B" w:rsidRDefault="0049467F" w:rsidP="5094BBF7">
            <w:pPr>
              <w:spacing w:after="0" w:line="240" w:lineRule="auto"/>
              <w:rPr>
                <w:rFonts w:eastAsia="Times New Roman" w:cs="Calibri"/>
                <w:b/>
                <w:bCs/>
              </w:rPr>
            </w:pPr>
            <w:r w:rsidRPr="5094BBF7">
              <w:rPr>
                <w:rFonts w:eastAsia="Times New Roman" w:cs="Calibri"/>
                <w:b/>
                <w:bCs/>
              </w:rPr>
              <w:t xml:space="preserve">Time </w:t>
            </w:r>
          </w:p>
        </w:tc>
        <w:tc>
          <w:tcPr>
            <w:tcW w:w="4069" w:type="dxa"/>
            <w:tcBorders>
              <w:top w:val="single" w:sz="6" w:space="0" w:color="00204E"/>
              <w:left w:val="single" w:sz="6" w:space="0" w:color="00204E"/>
              <w:bottom w:val="single" w:sz="6" w:space="0" w:color="00204E"/>
              <w:right w:val="single" w:sz="6" w:space="0" w:color="00204E"/>
            </w:tcBorders>
            <w:shd w:val="clear" w:color="auto" w:fill="00204E"/>
          </w:tcPr>
          <w:p w14:paraId="481A1F9E" w14:textId="77777777" w:rsidR="0049467F" w:rsidRPr="0021325B" w:rsidRDefault="0049467F" w:rsidP="00955C81">
            <w:pPr>
              <w:spacing w:after="0" w:line="240" w:lineRule="auto"/>
              <w:rPr>
                <w:rFonts w:eastAsia="Times New Roman" w:cs="Calibri"/>
                <w:b/>
              </w:rPr>
            </w:pPr>
            <w:r w:rsidRPr="0021325B">
              <w:rPr>
                <w:rFonts w:eastAsia="Times New Roman" w:cs="Calibri"/>
                <w:b/>
              </w:rPr>
              <w:t>Topic</w:t>
            </w:r>
          </w:p>
        </w:tc>
        <w:tc>
          <w:tcPr>
            <w:tcW w:w="4913" w:type="dxa"/>
            <w:tcBorders>
              <w:top w:val="single" w:sz="6" w:space="0" w:color="00204E"/>
              <w:left w:val="single" w:sz="6" w:space="0" w:color="00204E"/>
              <w:bottom w:val="single" w:sz="6" w:space="0" w:color="00204E"/>
              <w:right w:val="single" w:sz="6" w:space="0" w:color="00204E"/>
            </w:tcBorders>
            <w:shd w:val="clear" w:color="auto" w:fill="00204E"/>
          </w:tcPr>
          <w:p w14:paraId="2D3BD075" w14:textId="039584A5" w:rsidR="0049467F" w:rsidRPr="0021325B" w:rsidRDefault="0049467F" w:rsidP="00955C81">
            <w:pPr>
              <w:spacing w:after="0" w:line="240" w:lineRule="auto"/>
              <w:rPr>
                <w:rFonts w:eastAsia="Times New Roman" w:cs="Calibri"/>
                <w:b/>
              </w:rPr>
            </w:pPr>
            <w:r w:rsidRPr="0021325B">
              <w:rPr>
                <w:rFonts w:eastAsia="Times New Roman" w:cs="Calibri"/>
                <w:b/>
              </w:rPr>
              <w:t xml:space="preserve">Speaker </w:t>
            </w:r>
          </w:p>
        </w:tc>
      </w:tr>
      <w:tr w:rsidR="0049467F" w:rsidRPr="0021325B" w14:paraId="580697EB" w14:textId="77777777">
        <w:trPr>
          <w:trHeight w:val="1283"/>
        </w:trPr>
        <w:tc>
          <w:tcPr>
            <w:tcW w:w="1619" w:type="dxa"/>
            <w:tcBorders>
              <w:top w:val="single" w:sz="6" w:space="0" w:color="00204E"/>
            </w:tcBorders>
            <w:shd w:val="clear" w:color="auto" w:fill="F2F2F2"/>
          </w:tcPr>
          <w:p w14:paraId="60C8C920" w14:textId="03DE8D76" w:rsidR="0049467F" w:rsidRPr="0021325B" w:rsidRDefault="0049467F" w:rsidP="00955C81">
            <w:pPr>
              <w:spacing w:after="0" w:line="240" w:lineRule="auto"/>
              <w:rPr>
                <w:rFonts w:eastAsia="Times New Roman" w:cs="Calibri"/>
              </w:rPr>
            </w:pPr>
            <w:r>
              <w:rPr>
                <w:rFonts w:eastAsia="Times New Roman" w:cs="Calibri"/>
              </w:rPr>
              <w:t>8</w:t>
            </w:r>
            <w:r w:rsidR="002E03C7">
              <w:rPr>
                <w:rFonts w:eastAsia="Times New Roman" w:cs="Calibri"/>
              </w:rPr>
              <w:t>- 8:30 am</w:t>
            </w:r>
          </w:p>
        </w:tc>
        <w:tc>
          <w:tcPr>
            <w:tcW w:w="4069" w:type="dxa"/>
            <w:tcBorders>
              <w:top w:val="single" w:sz="6" w:space="0" w:color="00204E"/>
            </w:tcBorders>
            <w:shd w:val="clear" w:color="auto" w:fill="F2F2F2"/>
          </w:tcPr>
          <w:p w14:paraId="5018641C" w14:textId="32F3263A" w:rsidR="0049467F" w:rsidRPr="0021325B" w:rsidRDefault="0049467F" w:rsidP="5094BBF7">
            <w:pPr>
              <w:spacing w:after="0" w:line="240" w:lineRule="auto"/>
              <w:rPr>
                <w:rFonts w:eastAsia="Times New Roman" w:cs="Calibri"/>
              </w:rPr>
            </w:pPr>
            <w:r w:rsidRPr="5094BBF7">
              <w:rPr>
                <w:rFonts w:eastAsia="Times New Roman" w:cs="Calibri"/>
              </w:rPr>
              <w:t xml:space="preserve">Introduction to Electronic Health Record (EHR) Data &amp; </w:t>
            </w:r>
          </w:p>
          <w:p w14:paraId="1EA8698A" w14:textId="46DDC902" w:rsidR="0049467F" w:rsidRPr="0021325B" w:rsidRDefault="0049467F" w:rsidP="5094BBF7">
            <w:pPr>
              <w:spacing w:after="0" w:line="240" w:lineRule="auto"/>
              <w:rPr>
                <w:rFonts w:eastAsia="Times New Roman" w:cs="Calibri"/>
              </w:rPr>
            </w:pPr>
            <w:r w:rsidRPr="3C41D35C">
              <w:rPr>
                <w:rFonts w:eastAsia="Times New Roman" w:cs="Calibri"/>
              </w:rPr>
              <w:t>Current Research Using EHR Data in Vision Science</w:t>
            </w:r>
          </w:p>
          <w:p w14:paraId="11D8ACB7" w14:textId="04A884E7" w:rsidR="00A74CEA" w:rsidRPr="0021325B" w:rsidRDefault="00A74CEA" w:rsidP="5094BBF7">
            <w:pPr>
              <w:spacing w:after="0" w:line="240" w:lineRule="auto"/>
              <w:rPr>
                <w:rFonts w:eastAsia="Times New Roman" w:cs="Calibri"/>
              </w:rPr>
            </w:pPr>
          </w:p>
        </w:tc>
        <w:tc>
          <w:tcPr>
            <w:tcW w:w="4913" w:type="dxa"/>
            <w:tcBorders>
              <w:top w:val="single" w:sz="6" w:space="0" w:color="00204E"/>
            </w:tcBorders>
            <w:shd w:val="clear" w:color="auto" w:fill="F2F2F2"/>
          </w:tcPr>
          <w:p w14:paraId="4066A506" w14:textId="36CEA24E" w:rsidR="0049467F" w:rsidRPr="0021325B" w:rsidRDefault="0049467F" w:rsidP="00955C81">
            <w:pPr>
              <w:spacing w:after="0" w:line="240" w:lineRule="auto"/>
              <w:rPr>
                <w:rFonts w:eastAsia="Times New Roman" w:cs="Calibri"/>
              </w:rPr>
            </w:pPr>
            <w:r w:rsidRPr="5094BBF7">
              <w:rPr>
                <w:rFonts w:eastAsia="Times New Roman" w:cs="Calibri"/>
              </w:rPr>
              <w:t>Michelle Hribar, PhD, MS, Oregon Health &amp; Science University (OHSU)/National Eye Institute (NEI)</w:t>
            </w:r>
            <w:r>
              <w:t xml:space="preserve"> </w:t>
            </w:r>
            <w:hyperlink r:id="rId11">
              <w:r w:rsidRPr="008758BA">
                <w:rPr>
                  <w:rStyle w:val="Hyperlink"/>
                  <w:rFonts w:eastAsia="Times New Roman" w:cs="Calibri"/>
                </w:rPr>
                <w:t>https://www.ohsu.edu/people/michelle-r-hribar-phd-ms</w:t>
              </w:r>
            </w:hyperlink>
          </w:p>
        </w:tc>
      </w:tr>
      <w:tr w:rsidR="00A74CEA" w:rsidRPr="0021325B" w14:paraId="1CADA746" w14:textId="77777777" w:rsidTr="006C5DF3">
        <w:trPr>
          <w:trHeight w:val="1036"/>
        </w:trPr>
        <w:tc>
          <w:tcPr>
            <w:tcW w:w="10601" w:type="dxa"/>
            <w:gridSpan w:val="3"/>
            <w:tcBorders>
              <w:top w:val="single" w:sz="6" w:space="0" w:color="00204E"/>
            </w:tcBorders>
            <w:shd w:val="clear" w:color="auto" w:fill="auto"/>
          </w:tcPr>
          <w:p w14:paraId="7195D8DE" w14:textId="0AAACD19" w:rsidR="00A74CEA" w:rsidRPr="5094BBF7" w:rsidRDefault="00A74CEA" w:rsidP="00A74CEA">
            <w:pPr>
              <w:spacing w:after="0" w:line="240" w:lineRule="auto"/>
              <w:rPr>
                <w:rFonts w:eastAsia="Times New Roman" w:cs="Calibri"/>
              </w:rPr>
            </w:pPr>
            <w:r w:rsidRPr="00A74CEA">
              <w:rPr>
                <w:rFonts w:eastAsia="Times New Roman" w:cs="Calibri"/>
              </w:rPr>
              <w:t>This talk will set the stage for the course—we will present how data is stored and accessed in the EHR for its primary clinical use, as well as for its secondary use.  We will then discuss the different types of available EHR data and the many ways it can be used beyond the primary clinical use. We will provide numerous examples of the secondary use of EHR data in vision science and research, which will illustrate the benefits of using EHR data for research. Finally, we will lead an interactive discussion about the current challenges for the secondary use of EHR.</w:t>
            </w:r>
          </w:p>
        </w:tc>
      </w:tr>
      <w:tr w:rsidR="0049467F" w:rsidRPr="0021325B" w14:paraId="13978303" w14:textId="77777777">
        <w:trPr>
          <w:trHeight w:val="774"/>
        </w:trPr>
        <w:tc>
          <w:tcPr>
            <w:tcW w:w="1619" w:type="dxa"/>
            <w:shd w:val="clear" w:color="auto" w:fill="F2F2F2"/>
          </w:tcPr>
          <w:p w14:paraId="6B94BA4C" w14:textId="7D7A41BD" w:rsidR="0049467F" w:rsidRPr="0021325B" w:rsidRDefault="002E03C7" w:rsidP="00955C81">
            <w:pPr>
              <w:spacing w:after="0" w:line="240" w:lineRule="auto"/>
              <w:rPr>
                <w:rFonts w:eastAsia="Times New Roman" w:cs="Calibri"/>
              </w:rPr>
            </w:pPr>
            <w:r>
              <w:rPr>
                <w:rFonts w:eastAsia="Times New Roman" w:cs="Calibri"/>
              </w:rPr>
              <w:t>8:</w:t>
            </w:r>
            <w:r w:rsidR="0049467F" w:rsidRPr="5094BBF7">
              <w:rPr>
                <w:rFonts w:eastAsia="Times New Roman" w:cs="Calibri"/>
              </w:rPr>
              <w:t>30</w:t>
            </w:r>
            <w:r>
              <w:rPr>
                <w:rFonts w:eastAsia="Times New Roman" w:cs="Calibri"/>
              </w:rPr>
              <w:t>- 9am</w:t>
            </w:r>
          </w:p>
        </w:tc>
        <w:tc>
          <w:tcPr>
            <w:tcW w:w="4069" w:type="dxa"/>
            <w:shd w:val="clear" w:color="auto" w:fill="F2F2F2"/>
          </w:tcPr>
          <w:p w14:paraId="7F6C6AB9" w14:textId="0238F024" w:rsidR="0049467F" w:rsidRPr="0021325B" w:rsidRDefault="0049467F" w:rsidP="5094BBF7">
            <w:pPr>
              <w:spacing w:after="0" w:line="240" w:lineRule="auto"/>
              <w:rPr>
                <w:rFonts w:eastAsia="Times New Roman" w:cs="Calibri"/>
              </w:rPr>
            </w:pPr>
            <w:r w:rsidRPr="43F34A46">
              <w:rPr>
                <w:rFonts w:eastAsia="Times New Roman" w:cs="Calibri"/>
              </w:rPr>
              <w:t xml:space="preserve">Data Readiness and Bias for Secondary Research Use of EHR Data  </w:t>
            </w:r>
          </w:p>
          <w:p w14:paraId="43BBF13E" w14:textId="77B29EBF" w:rsidR="0049467F" w:rsidRPr="0021325B" w:rsidRDefault="0049467F" w:rsidP="5094BBF7">
            <w:pPr>
              <w:spacing w:after="0" w:line="240" w:lineRule="auto"/>
              <w:rPr>
                <w:rFonts w:eastAsia="Times New Roman" w:cs="Calibri"/>
              </w:rPr>
            </w:pPr>
          </w:p>
        </w:tc>
        <w:tc>
          <w:tcPr>
            <w:tcW w:w="4913" w:type="dxa"/>
            <w:shd w:val="clear" w:color="auto" w:fill="F2F2F2"/>
          </w:tcPr>
          <w:p w14:paraId="3CF971B5" w14:textId="7EB48505" w:rsidR="0049467F" w:rsidRPr="0021325B" w:rsidRDefault="00C073C9" w:rsidP="0049467F">
            <w:pPr>
              <w:spacing w:after="0" w:line="240" w:lineRule="auto"/>
              <w:rPr>
                <w:rFonts w:eastAsia="Times New Roman" w:cs="Calibri"/>
              </w:rPr>
            </w:pPr>
            <w:r>
              <w:rPr>
                <w:rFonts w:eastAsia="Times New Roman" w:cs="Calibri"/>
              </w:rPr>
              <w:t>Nicole W</w:t>
            </w:r>
            <w:r w:rsidR="0049467F" w:rsidRPr="5094BBF7">
              <w:rPr>
                <w:rFonts w:eastAsia="Times New Roman" w:cs="Calibri"/>
              </w:rPr>
              <w:t>e</w:t>
            </w:r>
            <w:r>
              <w:rPr>
                <w:rFonts w:eastAsia="Times New Roman" w:cs="Calibri"/>
              </w:rPr>
              <w:t>i</w:t>
            </w:r>
            <w:r w:rsidR="0049467F" w:rsidRPr="5094BBF7">
              <w:rPr>
                <w:rFonts w:eastAsia="Times New Roman" w:cs="Calibri"/>
              </w:rPr>
              <w:t>skopf, PhD, OHSU</w:t>
            </w:r>
            <w:r w:rsidR="0049467F">
              <w:rPr>
                <w:rFonts w:eastAsia="Times New Roman" w:cs="Calibri"/>
              </w:rPr>
              <w:br/>
            </w:r>
            <w:hyperlink r:id="rId12" w:history="1">
              <w:r w:rsidR="0049467F" w:rsidRPr="000B64E8">
                <w:rPr>
                  <w:rStyle w:val="Hyperlink"/>
                  <w:rFonts w:eastAsia="Times New Roman" w:cs="Calibri"/>
                </w:rPr>
                <w:t>https://www.ohsu.edu/people/nicole-g-weiskopf-phd</w:t>
              </w:r>
            </w:hyperlink>
          </w:p>
          <w:p w14:paraId="1C22B483" w14:textId="488BEFAA" w:rsidR="0049467F" w:rsidRPr="0021325B" w:rsidRDefault="0049467F" w:rsidP="00955C81">
            <w:pPr>
              <w:spacing w:after="0" w:line="240" w:lineRule="auto"/>
              <w:rPr>
                <w:rFonts w:eastAsia="Times New Roman" w:cs="Calibri"/>
              </w:rPr>
            </w:pPr>
          </w:p>
        </w:tc>
      </w:tr>
      <w:tr w:rsidR="00A74CEA" w:rsidRPr="0021325B" w14:paraId="10D0981C" w14:textId="77777777" w:rsidTr="009148A5">
        <w:trPr>
          <w:trHeight w:val="774"/>
        </w:trPr>
        <w:tc>
          <w:tcPr>
            <w:tcW w:w="10601" w:type="dxa"/>
            <w:gridSpan w:val="3"/>
            <w:shd w:val="clear" w:color="auto" w:fill="auto"/>
          </w:tcPr>
          <w:p w14:paraId="4ADCB9CC" w14:textId="12F89E57" w:rsidR="00A74CEA" w:rsidRPr="5094BBF7" w:rsidRDefault="00A74CEA" w:rsidP="0049467F">
            <w:pPr>
              <w:spacing w:after="0" w:line="240" w:lineRule="auto"/>
              <w:rPr>
                <w:rFonts w:eastAsia="Times New Roman" w:cs="Calibri"/>
              </w:rPr>
            </w:pPr>
            <w:r w:rsidRPr="00A74CEA">
              <w:rPr>
                <w:rFonts w:eastAsia="Times New Roman" w:cs="Calibri"/>
              </w:rPr>
              <w:t>The reuse of electronic health record (EHR) provide an important completement to traditional clinical research paradigms, with the potential for lower costs and improved generalizability. There are, however, unique challenges associated with the reuse of EHR data, including the fitness and readiness of these data for research, and potential biases that may be present in the data or introduced via study design or analyses. Researchers and clinicians working with EHR data or with results derived from EHR data must be aware of these considerations. In this session attendees will learn the basics of how to define, detect, and characterize EHR data readiness, both broadly and specifically with regards to ophthalmic data. Attendees will also be introduced to common forms of bias that may occur in EHR-based research, including measurement bias, confounding, and collider bias.</w:t>
            </w:r>
          </w:p>
        </w:tc>
      </w:tr>
      <w:tr w:rsidR="0049467F" w14:paraId="41E9F92C" w14:textId="77777777">
        <w:trPr>
          <w:trHeight w:val="774"/>
        </w:trPr>
        <w:tc>
          <w:tcPr>
            <w:tcW w:w="1619" w:type="dxa"/>
            <w:shd w:val="clear" w:color="auto" w:fill="F2F2F2"/>
          </w:tcPr>
          <w:p w14:paraId="4C98F09F" w14:textId="0B53A746" w:rsidR="0049467F" w:rsidRDefault="002E03C7" w:rsidP="43F34A46">
            <w:pPr>
              <w:spacing w:line="240" w:lineRule="auto"/>
              <w:rPr>
                <w:rFonts w:eastAsia="Times New Roman" w:cs="Calibri"/>
              </w:rPr>
            </w:pPr>
            <w:r>
              <w:rPr>
                <w:rFonts w:eastAsia="Times New Roman" w:cs="Calibri"/>
              </w:rPr>
              <w:t>9- 9:</w:t>
            </w:r>
            <w:r w:rsidR="0049467F" w:rsidRPr="43F34A46">
              <w:rPr>
                <w:rFonts w:eastAsia="Times New Roman" w:cs="Calibri"/>
              </w:rPr>
              <w:t>15</w:t>
            </w:r>
            <w:r>
              <w:rPr>
                <w:rFonts w:eastAsia="Times New Roman" w:cs="Calibri"/>
              </w:rPr>
              <w:t>am</w:t>
            </w:r>
          </w:p>
        </w:tc>
        <w:tc>
          <w:tcPr>
            <w:tcW w:w="4069" w:type="dxa"/>
            <w:shd w:val="clear" w:color="auto" w:fill="F2F2F2"/>
          </w:tcPr>
          <w:p w14:paraId="61FBA5DC" w14:textId="0888CD22" w:rsidR="0049467F" w:rsidRDefault="0049467F" w:rsidP="43F34A46">
            <w:pPr>
              <w:spacing w:line="240" w:lineRule="auto"/>
              <w:rPr>
                <w:rFonts w:eastAsia="Times New Roman" w:cs="Calibri"/>
              </w:rPr>
            </w:pPr>
            <w:r w:rsidRPr="43F34A46">
              <w:rPr>
                <w:rFonts w:eastAsia="Times New Roman" w:cs="Calibri"/>
              </w:rPr>
              <w:t>Discussion of Challenges of Secondary Research Use of EHR Data</w:t>
            </w:r>
          </w:p>
        </w:tc>
        <w:tc>
          <w:tcPr>
            <w:tcW w:w="4913" w:type="dxa"/>
            <w:shd w:val="clear" w:color="auto" w:fill="F2F2F2"/>
          </w:tcPr>
          <w:p w14:paraId="0C7AB7ED" w14:textId="62407180" w:rsidR="0049467F" w:rsidRDefault="0049467F" w:rsidP="43F34A46">
            <w:pPr>
              <w:spacing w:after="0" w:line="240" w:lineRule="auto"/>
              <w:rPr>
                <w:rFonts w:eastAsia="Times New Roman" w:cs="Calibri"/>
              </w:rPr>
            </w:pPr>
            <w:r w:rsidRPr="43F34A46">
              <w:rPr>
                <w:rFonts w:eastAsia="Times New Roman" w:cs="Calibri"/>
              </w:rPr>
              <w:t>Michelle Hribar, PhD, MS, Oregon Health &amp; Science University (OHSU)/National Eye Institute (NEI)</w:t>
            </w:r>
          </w:p>
          <w:p w14:paraId="4E906CB3" w14:textId="1729C8E3" w:rsidR="0049467F" w:rsidRDefault="00C073C9" w:rsidP="006E0A22">
            <w:pPr>
              <w:spacing w:after="0" w:line="240" w:lineRule="auto"/>
              <w:rPr>
                <w:rFonts w:eastAsia="Times New Roman" w:cs="Calibri"/>
              </w:rPr>
            </w:pPr>
            <w:r>
              <w:rPr>
                <w:rFonts w:eastAsia="Times New Roman" w:cs="Calibri"/>
              </w:rPr>
              <w:t>Nicole Wei</w:t>
            </w:r>
            <w:r w:rsidR="0049467F" w:rsidRPr="43F34A46">
              <w:rPr>
                <w:rFonts w:eastAsia="Times New Roman" w:cs="Calibri"/>
              </w:rPr>
              <w:t>skopf, PhD, OHSU</w:t>
            </w:r>
          </w:p>
        </w:tc>
      </w:tr>
      <w:tr w:rsidR="00C073C9" w14:paraId="7D9EFF8C" w14:textId="77777777" w:rsidTr="00B03D70">
        <w:trPr>
          <w:trHeight w:val="262"/>
        </w:trPr>
        <w:tc>
          <w:tcPr>
            <w:tcW w:w="1619" w:type="dxa"/>
            <w:shd w:val="clear" w:color="auto" w:fill="E7E6E6" w:themeFill="background2"/>
          </w:tcPr>
          <w:p w14:paraId="082245AB" w14:textId="3C83E4C6" w:rsidR="00C073C9" w:rsidRDefault="00C073C9" w:rsidP="00C073C9">
            <w:pPr>
              <w:spacing w:after="0" w:line="240" w:lineRule="auto"/>
              <w:rPr>
                <w:rFonts w:eastAsia="Times New Roman" w:cs="Calibri"/>
              </w:rPr>
            </w:pPr>
            <w:r>
              <w:rPr>
                <w:rFonts w:eastAsia="Times New Roman" w:cs="Calibri"/>
              </w:rPr>
              <w:lastRenderedPageBreak/>
              <w:t>9:15-9:30</w:t>
            </w:r>
            <w:r>
              <w:rPr>
                <w:rFonts w:eastAsia="Times New Roman" w:cs="Calibri"/>
              </w:rPr>
              <w:t>am</w:t>
            </w:r>
          </w:p>
        </w:tc>
        <w:tc>
          <w:tcPr>
            <w:tcW w:w="4069" w:type="dxa"/>
            <w:shd w:val="clear" w:color="auto" w:fill="E7E6E6" w:themeFill="background2"/>
          </w:tcPr>
          <w:p w14:paraId="37B723DB" w14:textId="0611B884" w:rsidR="00C073C9" w:rsidRDefault="00C073C9" w:rsidP="00C073C9">
            <w:pPr>
              <w:spacing w:after="0" w:line="240" w:lineRule="auto"/>
              <w:rPr>
                <w:rFonts w:eastAsia="Times New Roman" w:cs="Calibri"/>
                <w:noProof/>
              </w:rPr>
            </w:pPr>
            <w:r w:rsidRPr="5094BBF7">
              <w:rPr>
                <w:rFonts w:eastAsia="Times New Roman" w:cs="Calibri"/>
              </w:rPr>
              <w:t>FAIR Data Principles (Findable, Accessible, Interoperable, and Reusable) and the EHR</w:t>
            </w:r>
          </w:p>
        </w:tc>
        <w:tc>
          <w:tcPr>
            <w:tcW w:w="4913" w:type="dxa"/>
            <w:shd w:val="clear" w:color="auto" w:fill="E7E6E6" w:themeFill="background2"/>
          </w:tcPr>
          <w:p w14:paraId="60466D62" w14:textId="1E72D83C" w:rsidR="00C073C9" w:rsidRDefault="00C073C9" w:rsidP="00C073C9">
            <w:pPr>
              <w:spacing w:after="0" w:line="240" w:lineRule="auto"/>
              <w:rPr>
                <w:rFonts w:eastAsia="Times New Roman" w:cs="Calibri"/>
              </w:rPr>
            </w:pPr>
            <w:r>
              <w:rPr>
                <w:rFonts w:eastAsia="Times New Roman" w:cs="Calibri"/>
              </w:rPr>
              <w:t>Kerry Goetz, MS</w:t>
            </w:r>
            <w:r w:rsidRPr="4195232C">
              <w:rPr>
                <w:rFonts w:eastAsia="Times New Roman" w:cs="Calibri"/>
              </w:rPr>
              <w:t>, National Eye Institute (NEI)</w:t>
            </w:r>
            <w:r>
              <w:t xml:space="preserve"> </w:t>
            </w:r>
            <w:r>
              <w:br/>
            </w:r>
            <w:hyperlink r:id="rId13" w:history="1">
              <w:r w:rsidRPr="000B64E8">
                <w:rPr>
                  <w:rStyle w:val="Hyperlink"/>
                  <w:rFonts w:cs="Calibri"/>
                </w:rPr>
                <w:t>https://orcid.org/0000-0002-9821-7704</w:t>
              </w:r>
            </w:hyperlink>
          </w:p>
        </w:tc>
      </w:tr>
      <w:tr w:rsidR="00C073C9" w14:paraId="4363D275" w14:textId="77777777" w:rsidTr="00457991">
        <w:trPr>
          <w:trHeight w:val="262"/>
        </w:trPr>
        <w:tc>
          <w:tcPr>
            <w:tcW w:w="10601" w:type="dxa"/>
            <w:gridSpan w:val="3"/>
            <w:shd w:val="clear" w:color="auto" w:fill="auto"/>
          </w:tcPr>
          <w:p w14:paraId="0E5A9070" w14:textId="52FDA684" w:rsidR="00C073C9" w:rsidRPr="4195232C" w:rsidRDefault="00C073C9" w:rsidP="00C073C9">
            <w:pPr>
              <w:spacing w:after="0" w:line="240" w:lineRule="auto"/>
              <w:rPr>
                <w:rFonts w:eastAsia="Times New Roman" w:cs="Calibri"/>
              </w:rPr>
            </w:pPr>
            <w:r w:rsidRPr="00A74CEA">
              <w:rPr>
                <w:rFonts w:eastAsia="Times New Roman" w:cs="Calibri"/>
              </w:rPr>
              <w:t>This presentation will give an overview of the ‘FAIR Guiding Principles for scientific data management and stewardship’. These principles are  intended to provide guidelines to improve the Findability, Accessibility, Interoperability, and Reuse of digital assets. The principles emphasise machine-actionability (i.e., the capacity of computational systems to find, access, interoperate, and reuse data with none or minimal human intervention) because humans increasingly rely on computational support to deal with data as a result of the increase in volume, complexity, and creation speed of data.</w:t>
            </w:r>
          </w:p>
        </w:tc>
      </w:tr>
      <w:tr w:rsidR="00C073C9" w14:paraId="263AEDD3" w14:textId="77777777" w:rsidTr="00B6143C">
        <w:trPr>
          <w:trHeight w:val="262"/>
        </w:trPr>
        <w:tc>
          <w:tcPr>
            <w:tcW w:w="1619" w:type="dxa"/>
            <w:shd w:val="clear" w:color="auto" w:fill="auto"/>
          </w:tcPr>
          <w:p w14:paraId="512A6A31" w14:textId="13CEA70E" w:rsidR="00C073C9" w:rsidRDefault="00C073C9" w:rsidP="00C073C9">
            <w:pPr>
              <w:spacing w:after="0" w:line="240" w:lineRule="auto"/>
              <w:rPr>
                <w:rFonts w:eastAsia="Times New Roman" w:cs="Calibri"/>
              </w:rPr>
            </w:pPr>
            <w:r>
              <w:rPr>
                <w:rFonts w:eastAsia="Times New Roman" w:cs="Calibri"/>
              </w:rPr>
              <w:t>9:</w:t>
            </w:r>
            <w:r>
              <w:rPr>
                <w:rFonts w:eastAsia="Times New Roman" w:cs="Calibri"/>
              </w:rPr>
              <w:t>30- 9:45</w:t>
            </w:r>
            <w:r>
              <w:rPr>
                <w:rFonts w:eastAsia="Times New Roman" w:cs="Calibri"/>
              </w:rPr>
              <w:t>am</w:t>
            </w:r>
            <w:r w:rsidRPr="43F34A46">
              <w:rPr>
                <w:rFonts w:eastAsia="Times New Roman" w:cs="Calibri"/>
              </w:rPr>
              <w:t xml:space="preserve"> </w:t>
            </w:r>
          </w:p>
        </w:tc>
        <w:tc>
          <w:tcPr>
            <w:tcW w:w="4069" w:type="dxa"/>
            <w:shd w:val="clear" w:color="auto" w:fill="auto"/>
          </w:tcPr>
          <w:p w14:paraId="6338AD58" w14:textId="1263A9B5" w:rsidR="00C073C9" w:rsidRPr="43F34A46" w:rsidRDefault="00C073C9" w:rsidP="00C073C9">
            <w:pPr>
              <w:spacing w:after="0" w:line="240" w:lineRule="auto"/>
              <w:rPr>
                <w:rFonts w:eastAsia="Times New Roman" w:cs="Calibri"/>
                <w:noProof/>
              </w:rPr>
            </w:pPr>
            <w:r w:rsidRPr="43F34A46">
              <w:rPr>
                <w:rFonts w:eastAsia="Times New Roman" w:cs="Calibri"/>
                <w:noProof/>
              </w:rPr>
              <w:t xml:space="preserve">Break (at least 15 minutes) </w:t>
            </w:r>
          </w:p>
        </w:tc>
        <w:tc>
          <w:tcPr>
            <w:tcW w:w="4913" w:type="dxa"/>
            <w:shd w:val="clear" w:color="auto" w:fill="auto"/>
          </w:tcPr>
          <w:p w14:paraId="105EF71E" w14:textId="77777777" w:rsidR="00C073C9" w:rsidRDefault="00C073C9" w:rsidP="00C073C9">
            <w:pPr>
              <w:spacing w:after="0" w:line="240" w:lineRule="auto"/>
              <w:rPr>
                <w:rFonts w:eastAsia="Times New Roman" w:cs="Calibri"/>
              </w:rPr>
            </w:pPr>
          </w:p>
        </w:tc>
      </w:tr>
      <w:tr w:rsidR="00C073C9" w:rsidRPr="0021325B" w14:paraId="78594DCA" w14:textId="77777777">
        <w:trPr>
          <w:trHeight w:val="285"/>
        </w:trPr>
        <w:tc>
          <w:tcPr>
            <w:tcW w:w="1619" w:type="dxa"/>
            <w:shd w:val="clear" w:color="auto" w:fill="F2F2F2"/>
          </w:tcPr>
          <w:p w14:paraId="59C2992D" w14:textId="231479CA" w:rsidR="00C073C9" w:rsidRPr="0021325B" w:rsidRDefault="00C073C9" w:rsidP="00C073C9">
            <w:pPr>
              <w:spacing w:after="0" w:line="240" w:lineRule="auto"/>
              <w:rPr>
                <w:rFonts w:eastAsia="Times New Roman" w:cs="Calibri"/>
              </w:rPr>
            </w:pPr>
            <w:r>
              <w:rPr>
                <w:rFonts w:eastAsia="Times New Roman" w:cs="Calibri"/>
              </w:rPr>
              <w:t>9:45-10:15am</w:t>
            </w:r>
          </w:p>
        </w:tc>
        <w:tc>
          <w:tcPr>
            <w:tcW w:w="4069" w:type="dxa"/>
            <w:shd w:val="clear" w:color="auto" w:fill="F2F2F2"/>
          </w:tcPr>
          <w:p w14:paraId="197B2818" w14:textId="314D79BF" w:rsidR="00C073C9" w:rsidRPr="0021325B" w:rsidRDefault="00C073C9" w:rsidP="00C073C9">
            <w:pPr>
              <w:spacing w:after="0" w:line="240" w:lineRule="auto"/>
              <w:rPr>
                <w:rFonts w:eastAsia="Times New Roman" w:cs="Calibri"/>
                <w:noProof/>
              </w:rPr>
            </w:pPr>
            <w:r w:rsidRPr="5094BBF7">
              <w:rPr>
                <w:rFonts w:eastAsia="Times New Roman" w:cs="Calibri"/>
                <w:noProof/>
              </w:rPr>
              <w:t>Healthcare Data Standards</w:t>
            </w:r>
          </w:p>
        </w:tc>
        <w:tc>
          <w:tcPr>
            <w:tcW w:w="4913" w:type="dxa"/>
            <w:shd w:val="clear" w:color="auto" w:fill="F2F2F2"/>
          </w:tcPr>
          <w:p w14:paraId="24BDE4E8" w14:textId="007A121E" w:rsidR="00C073C9" w:rsidRPr="0021325B" w:rsidRDefault="00C073C9" w:rsidP="00C073C9">
            <w:pPr>
              <w:spacing w:after="0" w:line="240" w:lineRule="auto"/>
              <w:rPr>
                <w:rFonts w:eastAsia="Times New Roman" w:cs="Calibri"/>
                <w:noProof/>
              </w:rPr>
            </w:pPr>
            <w:r w:rsidRPr="5094BBF7">
              <w:rPr>
                <w:rFonts w:eastAsia="Times New Roman" w:cs="Calibri"/>
                <w:noProof/>
              </w:rPr>
              <w:t>Kerry Goetz, MS, National Eye Institute (NEI)</w:t>
            </w:r>
            <w:r>
              <w:t xml:space="preserve"> </w:t>
            </w:r>
            <w:r>
              <w:br/>
            </w:r>
            <w:hyperlink r:id="rId14" w:history="1">
              <w:r w:rsidRPr="000B64E8">
                <w:rPr>
                  <w:rStyle w:val="Hyperlink"/>
                  <w:rFonts w:cs="Calibri"/>
                </w:rPr>
                <w:t>https://orcid.org/0000-0002-9821-7704</w:t>
              </w:r>
            </w:hyperlink>
          </w:p>
        </w:tc>
      </w:tr>
      <w:tr w:rsidR="00C073C9" w:rsidRPr="0021325B" w14:paraId="4485C0A8" w14:textId="77777777" w:rsidTr="005C6DCC">
        <w:trPr>
          <w:trHeight w:val="285"/>
        </w:trPr>
        <w:tc>
          <w:tcPr>
            <w:tcW w:w="10601" w:type="dxa"/>
            <w:gridSpan w:val="3"/>
            <w:tcBorders>
              <w:bottom w:val="single" w:sz="6" w:space="0" w:color="A6A6A6"/>
            </w:tcBorders>
            <w:shd w:val="clear" w:color="auto" w:fill="auto"/>
          </w:tcPr>
          <w:p w14:paraId="3EAB165D" w14:textId="2FCB4261" w:rsidR="00C073C9" w:rsidRPr="5094BBF7" w:rsidRDefault="00C073C9" w:rsidP="00C073C9">
            <w:pPr>
              <w:spacing w:after="0" w:line="240" w:lineRule="auto"/>
              <w:rPr>
                <w:rFonts w:eastAsia="Times New Roman" w:cs="Calibri"/>
                <w:noProof/>
              </w:rPr>
            </w:pPr>
            <w:r w:rsidRPr="00A74CEA">
              <w:rPr>
                <w:rFonts w:eastAsia="Times New Roman" w:cs="Calibri"/>
                <w:noProof/>
              </w:rPr>
              <w:t>In this part of the educational course, I will cover background on the need for standardization to improve care delivery, public health surveillance, patient access, and research use of healthcare data. The course will outline specific characteristics of a variety of standards. The topics will cover both data standards and health information exchange standards. Use cases from data captured in electronic health records (EHRs), clinical research, and other health information systems will be used to give attendees a better understanding of why there is not a single standard.</w:t>
            </w:r>
          </w:p>
        </w:tc>
      </w:tr>
      <w:tr w:rsidR="00C073C9" w:rsidRPr="0021325B" w14:paraId="042B6DD9" w14:textId="77777777">
        <w:trPr>
          <w:trHeight w:val="197"/>
        </w:trPr>
        <w:tc>
          <w:tcPr>
            <w:tcW w:w="1619" w:type="dxa"/>
            <w:shd w:val="clear" w:color="auto" w:fill="F2F2F2"/>
          </w:tcPr>
          <w:p w14:paraId="150A44CF" w14:textId="16AAAE94" w:rsidR="00C073C9" w:rsidRPr="0021325B" w:rsidRDefault="00C073C9" w:rsidP="00C073C9">
            <w:pPr>
              <w:spacing w:after="0" w:line="240" w:lineRule="auto"/>
              <w:rPr>
                <w:rFonts w:eastAsia="Times New Roman" w:cs="Calibri"/>
              </w:rPr>
            </w:pPr>
            <w:r>
              <w:rPr>
                <w:rFonts w:eastAsia="Times New Roman" w:cs="Calibri"/>
              </w:rPr>
              <w:t>10:15-10:45 am</w:t>
            </w:r>
          </w:p>
        </w:tc>
        <w:tc>
          <w:tcPr>
            <w:tcW w:w="4069" w:type="dxa"/>
            <w:shd w:val="clear" w:color="auto" w:fill="F2F2F2"/>
          </w:tcPr>
          <w:p w14:paraId="45FE6794" w14:textId="4A3E9F93" w:rsidR="00C073C9" w:rsidRPr="0021325B" w:rsidRDefault="00C073C9" w:rsidP="00C073C9">
            <w:pPr>
              <w:spacing w:after="0" w:line="240" w:lineRule="auto"/>
              <w:rPr>
                <w:rFonts w:eastAsia="Times New Roman" w:cs="Calibri"/>
              </w:rPr>
            </w:pPr>
            <w:r w:rsidRPr="5094BBF7">
              <w:rPr>
                <w:rFonts w:eastAsia="Times New Roman" w:cs="Calibri"/>
              </w:rPr>
              <w:t>Common Data Models - Fast Healthcare Interoperability Resources (FHIR) &amp; Observational Medical Outcomes Partnership (OMOP)</w:t>
            </w:r>
          </w:p>
        </w:tc>
        <w:tc>
          <w:tcPr>
            <w:tcW w:w="4913" w:type="dxa"/>
            <w:shd w:val="clear" w:color="auto" w:fill="F2F2F2"/>
          </w:tcPr>
          <w:p w14:paraId="692FC63F" w14:textId="0C7B7E88" w:rsidR="00C073C9" w:rsidRDefault="00C073C9" w:rsidP="00C073C9">
            <w:pPr>
              <w:spacing w:after="0" w:line="240" w:lineRule="auto"/>
              <w:rPr>
                <w:rFonts w:cs="Calibri"/>
              </w:rPr>
            </w:pPr>
            <w:r w:rsidRPr="5094BBF7">
              <w:rPr>
                <w:rFonts w:eastAsia="Times New Roman" w:cs="Calibri"/>
              </w:rPr>
              <w:t xml:space="preserve">Sally Baxter, </w:t>
            </w:r>
            <w:r w:rsidR="00B03D70">
              <w:rPr>
                <w:rFonts w:eastAsia="Times New Roman" w:cs="Calibri"/>
              </w:rPr>
              <w:t>M</w:t>
            </w:r>
            <w:r w:rsidRPr="5094BBF7">
              <w:rPr>
                <w:rFonts w:eastAsia="Times New Roman" w:cs="Calibri"/>
              </w:rPr>
              <w:t xml:space="preserve">D, MSc, Shiley Eye Institute </w:t>
            </w:r>
          </w:p>
          <w:p w14:paraId="68D53DF9" w14:textId="77777777" w:rsidR="00C073C9" w:rsidRPr="0021325B" w:rsidRDefault="00C073C9" w:rsidP="00C073C9">
            <w:pPr>
              <w:spacing w:after="0" w:line="240" w:lineRule="auto"/>
              <w:rPr>
                <w:rFonts w:eastAsia="Times New Roman" w:cs="Calibri"/>
              </w:rPr>
            </w:pPr>
            <w:hyperlink r:id="rId15">
              <w:r w:rsidRPr="008758BA">
                <w:rPr>
                  <w:rStyle w:val="Hyperlink"/>
                  <w:rFonts w:eastAsia="Times New Roman" w:cs="Calibri"/>
                </w:rPr>
                <w:t>https://shileyeye.ucsd.edu/faculty/sallylbaxter</w:t>
              </w:r>
            </w:hyperlink>
          </w:p>
          <w:p w14:paraId="4BD88350" w14:textId="57B75731" w:rsidR="00C073C9" w:rsidRPr="0021325B" w:rsidRDefault="00C073C9" w:rsidP="00C073C9">
            <w:pPr>
              <w:spacing w:after="0" w:line="240" w:lineRule="auto"/>
              <w:rPr>
                <w:rFonts w:eastAsia="Times New Roman" w:cs="Calibri"/>
              </w:rPr>
            </w:pPr>
          </w:p>
        </w:tc>
      </w:tr>
      <w:tr w:rsidR="00C073C9" w:rsidRPr="0021325B" w14:paraId="48B5FF6A" w14:textId="77777777" w:rsidTr="00345420">
        <w:trPr>
          <w:trHeight w:val="197"/>
        </w:trPr>
        <w:tc>
          <w:tcPr>
            <w:tcW w:w="10601" w:type="dxa"/>
            <w:gridSpan w:val="3"/>
            <w:shd w:val="clear" w:color="auto" w:fill="auto"/>
          </w:tcPr>
          <w:p w14:paraId="5D636211" w14:textId="24DB83D0" w:rsidR="00C073C9" w:rsidRPr="5094BBF7" w:rsidRDefault="00C073C9" w:rsidP="00C073C9">
            <w:pPr>
              <w:spacing w:after="0" w:line="240" w:lineRule="auto"/>
              <w:rPr>
                <w:rFonts w:eastAsia="Times New Roman" w:cs="Calibri"/>
              </w:rPr>
            </w:pPr>
            <w:r w:rsidRPr="00A74CEA">
              <w:rPr>
                <w:rFonts w:eastAsia="Times New Roman" w:cs="Calibri"/>
              </w:rPr>
              <w:t>In this talk, I will provide an introduction to common data models and extract-transform-load (ETL) processes that convert data into common data model structures. I will then provide additional details about two common data models: Observational Medical Outcomes Partnership (OMOP) and Fast Healthcare Interoperability Resources (FHIR). For OMOP, participants will learn about how to create cohorts, concept sets, and execute analyses, and the benefits of using the OMOP common data model. I will demonstrate some examples of "OMOP in action" and provide some hands-on activities for course participants to learn about publicly available tools. We will also discuss recent activities of the OMOP Workgroup in Eye Care and Vision Research. For FHIR, I will provide an overview of FHIR, including defining resources and demonstrating utility for interoperability and data exchange in a digital health ecosystem. I will describe some use cases and provide some specific applications in ophthalmology. There will be opportunities for interactive discussion throughout the presentation.</w:t>
            </w:r>
          </w:p>
        </w:tc>
      </w:tr>
      <w:tr w:rsidR="00C073C9" w14:paraId="4393A2FF" w14:textId="77777777">
        <w:trPr>
          <w:trHeight w:val="1073"/>
        </w:trPr>
        <w:tc>
          <w:tcPr>
            <w:tcW w:w="1619" w:type="dxa"/>
            <w:shd w:val="clear" w:color="auto" w:fill="F2F2F2"/>
          </w:tcPr>
          <w:p w14:paraId="6565E8A1" w14:textId="381FF4E7" w:rsidR="00C073C9" w:rsidRDefault="00C073C9" w:rsidP="00C073C9">
            <w:pPr>
              <w:spacing w:line="240" w:lineRule="auto"/>
              <w:rPr>
                <w:rFonts w:eastAsia="Times New Roman" w:cs="Calibri"/>
              </w:rPr>
            </w:pPr>
            <w:r>
              <w:rPr>
                <w:rFonts w:eastAsia="Times New Roman" w:cs="Calibri"/>
              </w:rPr>
              <w:t>10:45- 11:00 am</w:t>
            </w:r>
          </w:p>
        </w:tc>
        <w:tc>
          <w:tcPr>
            <w:tcW w:w="4069" w:type="dxa"/>
            <w:shd w:val="clear" w:color="auto" w:fill="F2F2F2"/>
          </w:tcPr>
          <w:p w14:paraId="0F133170" w14:textId="7E336556" w:rsidR="00C073C9" w:rsidRDefault="00C073C9" w:rsidP="00C073C9">
            <w:pPr>
              <w:spacing w:line="240" w:lineRule="auto"/>
              <w:rPr>
                <w:rFonts w:eastAsia="Times New Roman" w:cs="Calibri"/>
              </w:rPr>
            </w:pPr>
            <w:r w:rsidRPr="5094BBF7">
              <w:rPr>
                <w:rFonts w:eastAsia="Times New Roman" w:cs="Calibri"/>
              </w:rPr>
              <w:t>Future Opportunities and Call to Action</w:t>
            </w:r>
          </w:p>
        </w:tc>
        <w:tc>
          <w:tcPr>
            <w:tcW w:w="4913" w:type="dxa"/>
            <w:shd w:val="clear" w:color="auto" w:fill="F2F2F2"/>
          </w:tcPr>
          <w:p w14:paraId="6CBBB5E0" w14:textId="1BE2993D" w:rsidR="00C073C9" w:rsidRDefault="00C073C9" w:rsidP="00C073C9">
            <w:pPr>
              <w:spacing w:after="0" w:line="240" w:lineRule="auto"/>
              <w:rPr>
                <w:rFonts w:eastAsia="Times New Roman" w:cs="Calibri"/>
              </w:rPr>
            </w:pPr>
            <w:r w:rsidRPr="43F34A46">
              <w:rPr>
                <w:rFonts w:eastAsia="Times New Roman" w:cs="Calibri"/>
              </w:rPr>
              <w:t>Michelle Hribar, PhD, MS, Oregon Health &amp; Science University (OHSU)/National Eye Institute (NEI)</w:t>
            </w:r>
          </w:p>
        </w:tc>
      </w:tr>
      <w:tr w:rsidR="00C073C9" w:rsidRPr="0021325B" w14:paraId="5B3A7060" w14:textId="77777777">
        <w:trPr>
          <w:trHeight w:val="511"/>
        </w:trPr>
        <w:tc>
          <w:tcPr>
            <w:tcW w:w="1619" w:type="dxa"/>
            <w:shd w:val="clear" w:color="auto" w:fill="F2F2F2"/>
          </w:tcPr>
          <w:p w14:paraId="1121D788" w14:textId="3C738B96" w:rsidR="00C073C9" w:rsidRPr="0021325B" w:rsidRDefault="00C073C9" w:rsidP="00C073C9">
            <w:pPr>
              <w:spacing w:after="0" w:line="240" w:lineRule="auto"/>
              <w:rPr>
                <w:rFonts w:eastAsia="Times New Roman" w:cs="Calibri"/>
              </w:rPr>
            </w:pPr>
            <w:r>
              <w:rPr>
                <w:rFonts w:eastAsia="Times New Roman" w:cs="Calibri"/>
              </w:rPr>
              <w:t>11:00- Noon</w:t>
            </w:r>
          </w:p>
        </w:tc>
        <w:tc>
          <w:tcPr>
            <w:tcW w:w="4069" w:type="dxa"/>
            <w:shd w:val="clear" w:color="auto" w:fill="F2F2F2"/>
          </w:tcPr>
          <w:p w14:paraId="417A8F58" w14:textId="5968FB9C" w:rsidR="00C073C9" w:rsidRDefault="00C073C9" w:rsidP="00C073C9">
            <w:pPr>
              <w:spacing w:line="240" w:lineRule="auto"/>
              <w:rPr>
                <w:rFonts w:eastAsia="Times New Roman" w:cs="Calibri"/>
              </w:rPr>
            </w:pPr>
            <w:r w:rsidRPr="43F34A46">
              <w:rPr>
                <w:rFonts w:eastAsia="Times New Roman" w:cs="Calibri"/>
              </w:rPr>
              <w:t>Discussion of FAIR, Data Standards, Common Data Models</w:t>
            </w:r>
            <w:r>
              <w:rPr>
                <w:rFonts w:eastAsia="Times New Roman" w:cs="Calibri"/>
              </w:rPr>
              <w:t>, Future Opportunities</w:t>
            </w:r>
          </w:p>
          <w:p w14:paraId="5A562AA3" w14:textId="4A6F9ED0" w:rsidR="00C073C9" w:rsidRPr="0021325B" w:rsidRDefault="00C073C9" w:rsidP="00C073C9">
            <w:pPr>
              <w:spacing w:after="0" w:line="240" w:lineRule="auto"/>
              <w:rPr>
                <w:rFonts w:eastAsia="Times New Roman" w:cs="Calibri"/>
              </w:rPr>
            </w:pPr>
          </w:p>
        </w:tc>
        <w:tc>
          <w:tcPr>
            <w:tcW w:w="4913" w:type="dxa"/>
            <w:shd w:val="clear" w:color="auto" w:fill="F2F2F2"/>
          </w:tcPr>
          <w:p w14:paraId="2EB7E35F" w14:textId="77777777" w:rsidR="00C073C9" w:rsidRDefault="00C073C9" w:rsidP="00C073C9">
            <w:pPr>
              <w:spacing w:after="0" w:line="240" w:lineRule="auto"/>
              <w:rPr>
                <w:rFonts w:eastAsia="Times New Roman" w:cs="Calibri"/>
                <w:noProof/>
              </w:rPr>
            </w:pPr>
            <w:r w:rsidRPr="43F34A46">
              <w:rPr>
                <w:rFonts w:eastAsia="Times New Roman" w:cs="Calibri"/>
                <w:noProof/>
              </w:rPr>
              <w:t>Kerry Goetz, MS, National Eye Institute (NEI)</w:t>
            </w:r>
          </w:p>
          <w:p w14:paraId="5F9A8DA6" w14:textId="2AA65620" w:rsidR="00C073C9" w:rsidRDefault="00C073C9" w:rsidP="00C073C9">
            <w:pPr>
              <w:spacing w:after="0" w:line="240" w:lineRule="auto"/>
              <w:rPr>
                <w:rFonts w:eastAsia="Times New Roman" w:cs="Calibri"/>
              </w:rPr>
            </w:pPr>
            <w:r w:rsidRPr="43F34A46">
              <w:rPr>
                <w:rFonts w:eastAsia="Times New Roman" w:cs="Calibri"/>
              </w:rPr>
              <w:t xml:space="preserve">Sally Baxter, </w:t>
            </w:r>
            <w:r w:rsidR="00B03D70">
              <w:rPr>
                <w:rFonts w:eastAsia="Times New Roman" w:cs="Calibri"/>
              </w:rPr>
              <w:t>MD</w:t>
            </w:r>
            <w:bookmarkStart w:id="0" w:name="_GoBack"/>
            <w:bookmarkEnd w:id="0"/>
            <w:r w:rsidRPr="43F34A46">
              <w:rPr>
                <w:rFonts w:eastAsia="Times New Roman" w:cs="Calibri"/>
              </w:rPr>
              <w:t>, MSc, Shiley Eye Institute</w:t>
            </w:r>
          </w:p>
          <w:p w14:paraId="473906DA" w14:textId="77777777" w:rsidR="00C073C9" w:rsidRDefault="00C073C9" w:rsidP="00C073C9">
            <w:pPr>
              <w:spacing w:after="0" w:line="240" w:lineRule="auto"/>
              <w:rPr>
                <w:rFonts w:eastAsia="Times New Roman" w:cs="Calibri"/>
              </w:rPr>
            </w:pPr>
            <w:r>
              <w:rPr>
                <w:rFonts w:eastAsia="Times New Roman" w:cs="Calibri"/>
              </w:rPr>
              <w:t xml:space="preserve">Michelle Hribar, PhD, MS, Oregon Health &amp; Science University (OHSU)/National Eye Institute </w:t>
            </w:r>
          </w:p>
          <w:p w14:paraId="71C8A219" w14:textId="77777777" w:rsidR="00C073C9" w:rsidRDefault="00C073C9" w:rsidP="00C073C9">
            <w:pPr>
              <w:spacing w:after="0" w:line="240" w:lineRule="auto"/>
              <w:rPr>
                <w:rFonts w:eastAsia="Times New Roman" w:cs="Calibri"/>
              </w:rPr>
            </w:pPr>
            <w:r>
              <w:rPr>
                <w:rFonts w:eastAsia="Times New Roman" w:cs="Calibri"/>
              </w:rPr>
              <w:t>Nicole W</w:t>
            </w:r>
            <w:r w:rsidRPr="5094BBF7">
              <w:rPr>
                <w:rFonts w:eastAsia="Times New Roman" w:cs="Calibri"/>
              </w:rPr>
              <w:t>e</w:t>
            </w:r>
            <w:r>
              <w:rPr>
                <w:rFonts w:eastAsia="Times New Roman" w:cs="Calibri"/>
              </w:rPr>
              <w:t>i</w:t>
            </w:r>
            <w:r w:rsidRPr="5094BBF7">
              <w:rPr>
                <w:rFonts w:eastAsia="Times New Roman" w:cs="Calibri"/>
              </w:rPr>
              <w:t>skopf, PhD, OHSU</w:t>
            </w:r>
          </w:p>
          <w:p w14:paraId="36AE8BD4" w14:textId="30A38E3C" w:rsidR="00C073C9" w:rsidRPr="0021325B" w:rsidRDefault="00C073C9" w:rsidP="00C073C9">
            <w:pPr>
              <w:spacing w:after="0" w:line="240" w:lineRule="auto"/>
              <w:rPr>
                <w:rFonts w:eastAsia="Times New Roman" w:cs="Calibri"/>
              </w:rPr>
            </w:pPr>
          </w:p>
        </w:tc>
      </w:tr>
      <w:tr w:rsidR="00C073C9" w:rsidRPr="0021325B" w14:paraId="63DABD44" w14:textId="77777777" w:rsidTr="005C6DCC">
        <w:trPr>
          <w:trHeight w:val="158"/>
        </w:trPr>
        <w:tc>
          <w:tcPr>
            <w:tcW w:w="10601" w:type="dxa"/>
            <w:gridSpan w:val="3"/>
            <w:shd w:val="clear" w:color="auto" w:fill="auto"/>
          </w:tcPr>
          <w:p w14:paraId="19C6348D" w14:textId="4963386B" w:rsidR="00C073C9" w:rsidRPr="43F34A46" w:rsidRDefault="00C073C9" w:rsidP="00C073C9">
            <w:pPr>
              <w:spacing w:after="0" w:line="240" w:lineRule="auto"/>
              <w:rPr>
                <w:rFonts w:eastAsia="Times New Roman" w:cs="Calibri"/>
              </w:rPr>
            </w:pPr>
            <w:r>
              <w:rPr>
                <w:rFonts w:eastAsia="Times New Roman" w:cs="Calibri"/>
              </w:rPr>
              <w:lastRenderedPageBreak/>
              <w:t>Open discussion about future opportunities.</w:t>
            </w:r>
          </w:p>
        </w:tc>
      </w:tr>
      <w:tr w:rsidR="00C073C9" w:rsidRPr="0021325B" w14:paraId="2FCA35D6" w14:textId="77777777">
        <w:trPr>
          <w:trHeight w:val="25"/>
        </w:trPr>
        <w:tc>
          <w:tcPr>
            <w:tcW w:w="1619" w:type="dxa"/>
            <w:shd w:val="clear" w:color="auto" w:fill="F2F2F2"/>
          </w:tcPr>
          <w:p w14:paraId="005009E8" w14:textId="14F63974" w:rsidR="00C073C9" w:rsidRDefault="00C073C9" w:rsidP="00C073C9">
            <w:pPr>
              <w:spacing w:after="0" w:line="240" w:lineRule="auto"/>
              <w:rPr>
                <w:rFonts w:eastAsia="Times New Roman" w:cs="Calibri"/>
              </w:rPr>
            </w:pPr>
            <w:r>
              <w:rPr>
                <w:rFonts w:eastAsia="Times New Roman" w:cs="Calibri"/>
              </w:rPr>
              <w:t>Noon</w:t>
            </w:r>
          </w:p>
        </w:tc>
        <w:tc>
          <w:tcPr>
            <w:tcW w:w="4069" w:type="dxa"/>
            <w:shd w:val="clear" w:color="auto" w:fill="F2F2F2"/>
          </w:tcPr>
          <w:p w14:paraId="1998AC20" w14:textId="100D05CF" w:rsidR="00C073C9" w:rsidRPr="5094BBF7" w:rsidRDefault="00C073C9" w:rsidP="00C073C9">
            <w:pPr>
              <w:spacing w:after="0" w:line="240" w:lineRule="auto"/>
              <w:rPr>
                <w:rFonts w:eastAsia="Times New Roman" w:cs="Calibri"/>
              </w:rPr>
            </w:pPr>
            <w:r>
              <w:rPr>
                <w:rFonts w:eastAsia="Times New Roman" w:cs="Calibri"/>
              </w:rPr>
              <w:t>Adjourn</w:t>
            </w:r>
          </w:p>
        </w:tc>
        <w:tc>
          <w:tcPr>
            <w:tcW w:w="4913" w:type="dxa"/>
            <w:shd w:val="clear" w:color="auto" w:fill="F2F2F2"/>
          </w:tcPr>
          <w:p w14:paraId="11100CDD" w14:textId="77777777" w:rsidR="00C073C9" w:rsidRPr="43F34A46" w:rsidRDefault="00C073C9" w:rsidP="00C073C9">
            <w:pPr>
              <w:spacing w:after="0" w:line="240" w:lineRule="auto"/>
              <w:rPr>
                <w:rFonts w:eastAsia="Times New Roman" w:cs="Calibri"/>
              </w:rPr>
            </w:pPr>
          </w:p>
        </w:tc>
      </w:tr>
    </w:tbl>
    <w:p w14:paraId="5DD8F850" w14:textId="67BAED67" w:rsidR="005C6DCC" w:rsidRDefault="005C6DCC" w:rsidP="005C6DCC">
      <w:pPr>
        <w:rPr>
          <w:rFonts w:ascii="Arial" w:hAnsi="Arial" w:cs="Arial"/>
          <w:b/>
          <w:sz w:val="24"/>
          <w:szCs w:val="24"/>
        </w:rPr>
      </w:pPr>
    </w:p>
    <w:sectPr w:rsidR="005C6DCC" w:rsidSect="00B6143C">
      <w:footerReference w:type="default" r:id="rId16"/>
      <w:headerReference w:type="first" r:id="rId17"/>
      <w:footerReference w:type="first" r:id="rId18"/>
      <w:pgSz w:w="12240" w:h="15840"/>
      <w:pgMar w:top="5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07F87" w14:textId="77777777" w:rsidR="00A26727" w:rsidRDefault="00A26727" w:rsidP="00E660DF">
      <w:pPr>
        <w:spacing w:after="0" w:line="240" w:lineRule="auto"/>
      </w:pPr>
      <w:r>
        <w:separator/>
      </w:r>
    </w:p>
  </w:endnote>
  <w:endnote w:type="continuationSeparator" w:id="0">
    <w:p w14:paraId="3001DC70" w14:textId="77777777" w:rsidR="00A26727" w:rsidRDefault="00A26727" w:rsidP="00E6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27D1B" w14:textId="3119FBC6" w:rsidR="00561A3C" w:rsidRDefault="00561A3C" w:rsidP="00B614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03D7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3D70">
      <w:rPr>
        <w:b/>
        <w:bCs/>
        <w:noProof/>
      </w:rPr>
      <w:t>3</w:t>
    </w:r>
    <w:r>
      <w:rPr>
        <w:b/>
        <w:bCs/>
        <w:sz w:val="24"/>
        <w:szCs w:val="24"/>
      </w:rPr>
      <w:fldChar w:fldCharType="end"/>
    </w:r>
  </w:p>
  <w:p w14:paraId="17065BB0" w14:textId="77777777" w:rsidR="00561A3C" w:rsidRDefault="00561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A040D" w14:textId="44CB9DCB" w:rsidR="00561A3C" w:rsidRDefault="00561A3C" w:rsidP="00B614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03D7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3D70">
      <w:rPr>
        <w:b/>
        <w:bCs/>
        <w:noProof/>
      </w:rPr>
      <w:t>3</w:t>
    </w:r>
    <w:r>
      <w:rPr>
        <w:b/>
        <w:bCs/>
        <w:sz w:val="24"/>
        <w:szCs w:val="24"/>
      </w:rPr>
      <w:fldChar w:fldCharType="end"/>
    </w:r>
  </w:p>
  <w:p w14:paraId="497A2A62" w14:textId="77777777" w:rsidR="00561A3C" w:rsidRDefault="00561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F20DD" w14:textId="77777777" w:rsidR="00A26727" w:rsidRDefault="00A26727" w:rsidP="00E660DF">
      <w:pPr>
        <w:spacing w:after="0" w:line="240" w:lineRule="auto"/>
      </w:pPr>
      <w:r>
        <w:separator/>
      </w:r>
    </w:p>
  </w:footnote>
  <w:footnote w:type="continuationSeparator" w:id="0">
    <w:p w14:paraId="54FC8CB4" w14:textId="77777777" w:rsidR="00A26727" w:rsidRDefault="00A26727" w:rsidP="00E66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76190" w14:textId="114547C3" w:rsidR="00A74CEA" w:rsidRPr="00A74CEA" w:rsidRDefault="00C073C9" w:rsidP="00A74CEA">
    <w:pPr>
      <w:tabs>
        <w:tab w:val="center" w:pos="4680"/>
        <w:tab w:val="right" w:pos="9360"/>
      </w:tabs>
      <w:spacing w:after="0" w:line="240" w:lineRule="auto"/>
      <w:jc w:val="right"/>
    </w:pPr>
    <w:r>
      <w:rPr>
        <w:noProof/>
        <w:lang w:eastAsia="ja-JP"/>
      </w:rPr>
      <w:drawing>
        <wp:anchor distT="0" distB="0" distL="114300" distR="114300" simplePos="0" relativeHeight="251657728" behindDoc="0" locked="0" layoutInCell="1" allowOverlap="1" wp14:anchorId="1250C5BD" wp14:editId="16713D31">
          <wp:simplePos x="0" y="0"/>
          <wp:positionH relativeFrom="margin">
            <wp:align>left</wp:align>
          </wp:positionH>
          <wp:positionV relativeFrom="paragraph">
            <wp:posOffset>-7620</wp:posOffset>
          </wp:positionV>
          <wp:extent cx="3238500" cy="568325"/>
          <wp:effectExtent l="0" t="0" r="0" b="0"/>
          <wp:wrapNone/>
          <wp:docPr id="3"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568325"/>
                  </a:xfrm>
                  <a:prstGeom prst="rect">
                    <a:avLst/>
                  </a:prstGeom>
                  <a:noFill/>
                </pic:spPr>
              </pic:pic>
            </a:graphicData>
          </a:graphic>
          <wp14:sizeRelH relativeFrom="page">
            <wp14:pctWidth>0</wp14:pctWidth>
          </wp14:sizeRelH>
          <wp14:sizeRelV relativeFrom="page">
            <wp14:pctHeight>0</wp14:pctHeight>
          </wp14:sizeRelV>
        </wp:anchor>
      </w:drawing>
    </w:r>
    <w:r w:rsidR="00A74CEA" w:rsidRPr="00A74CEA">
      <w:t xml:space="preserve"> Saturday, April 22, 2023 </w:t>
    </w:r>
  </w:p>
  <w:p w14:paraId="38A68BAF" w14:textId="77777777" w:rsidR="00A74CEA" w:rsidRPr="00A74CEA" w:rsidRDefault="00A74CEA" w:rsidP="00A74CEA">
    <w:pPr>
      <w:tabs>
        <w:tab w:val="center" w:pos="4680"/>
        <w:tab w:val="right" w:pos="9360"/>
      </w:tabs>
      <w:spacing w:after="0" w:line="240" w:lineRule="auto"/>
      <w:jc w:val="right"/>
    </w:pPr>
    <w:r w:rsidRPr="00A74CEA">
      <w:t xml:space="preserve">8am-12pm </w:t>
    </w:r>
  </w:p>
  <w:p w14:paraId="68497F28" w14:textId="77777777" w:rsidR="00A74CEA" w:rsidRPr="00A74CEA" w:rsidRDefault="00A74CEA" w:rsidP="00A74CEA">
    <w:pPr>
      <w:tabs>
        <w:tab w:val="center" w:pos="4680"/>
        <w:tab w:val="right" w:pos="9360"/>
      </w:tabs>
      <w:spacing w:after="0" w:line="240" w:lineRule="auto"/>
      <w:jc w:val="right"/>
    </w:pPr>
    <w:r w:rsidRPr="00A74CEA">
      <w:t>New Orleans Ernest N. Morial Convention Center</w:t>
    </w:r>
  </w:p>
  <w:p w14:paraId="2F31B094" w14:textId="10342ECF" w:rsidR="00A20B4C" w:rsidRPr="00A74CEA" w:rsidRDefault="00A74CEA" w:rsidP="00A74CEA">
    <w:pPr>
      <w:tabs>
        <w:tab w:val="center" w:pos="4680"/>
        <w:tab w:val="right" w:pos="9360"/>
      </w:tabs>
      <w:spacing w:after="0" w:line="240" w:lineRule="auto"/>
      <w:jc w:val="right"/>
      <w:rPr>
        <w:rStyle w:val="Strong"/>
        <w:b w:val="0"/>
        <w:bCs w:val="0"/>
      </w:rPr>
    </w:pPr>
    <w:r w:rsidRPr="00A74CEA">
      <w:t>New Orleans, La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4FFA"/>
    <w:multiLevelType w:val="hybridMultilevel"/>
    <w:tmpl w:val="1AC8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91F2F"/>
    <w:multiLevelType w:val="hybridMultilevel"/>
    <w:tmpl w:val="1E7E1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02F53"/>
    <w:multiLevelType w:val="hybridMultilevel"/>
    <w:tmpl w:val="9760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B5266"/>
    <w:multiLevelType w:val="hybridMultilevel"/>
    <w:tmpl w:val="CB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04742"/>
    <w:multiLevelType w:val="hybridMultilevel"/>
    <w:tmpl w:val="04D25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xNzE2tTQ3Mjc1NLFQ0lEKTi0uzszPAymwqAUA50pXCywAAAA="/>
  </w:docVars>
  <w:rsids>
    <w:rsidRoot w:val="00E56481"/>
    <w:rsid w:val="00012AC0"/>
    <w:rsid w:val="00045370"/>
    <w:rsid w:val="000A438D"/>
    <w:rsid w:val="000C5B17"/>
    <w:rsid w:val="000D28DE"/>
    <w:rsid w:val="00132D12"/>
    <w:rsid w:val="0019496C"/>
    <w:rsid w:val="001E7120"/>
    <w:rsid w:val="0021325B"/>
    <w:rsid w:val="0021405E"/>
    <w:rsid w:val="002A50F3"/>
    <w:rsid w:val="002E03C7"/>
    <w:rsid w:val="002E7279"/>
    <w:rsid w:val="0034CE6E"/>
    <w:rsid w:val="00394ECF"/>
    <w:rsid w:val="003A1B7D"/>
    <w:rsid w:val="003D3234"/>
    <w:rsid w:val="003F363B"/>
    <w:rsid w:val="004027E6"/>
    <w:rsid w:val="00484AAC"/>
    <w:rsid w:val="0049467F"/>
    <w:rsid w:val="004D2942"/>
    <w:rsid w:val="0050261D"/>
    <w:rsid w:val="00522D3B"/>
    <w:rsid w:val="00550ACE"/>
    <w:rsid w:val="00560014"/>
    <w:rsid w:val="00561A3C"/>
    <w:rsid w:val="00570DC4"/>
    <w:rsid w:val="005C6376"/>
    <w:rsid w:val="005C6DCC"/>
    <w:rsid w:val="006522A5"/>
    <w:rsid w:val="00674D75"/>
    <w:rsid w:val="006A613B"/>
    <w:rsid w:val="006E0A22"/>
    <w:rsid w:val="006FDA8B"/>
    <w:rsid w:val="007240E4"/>
    <w:rsid w:val="007921D0"/>
    <w:rsid w:val="00814F24"/>
    <w:rsid w:val="00864186"/>
    <w:rsid w:val="00873F3C"/>
    <w:rsid w:val="008758BA"/>
    <w:rsid w:val="00886007"/>
    <w:rsid w:val="008D2532"/>
    <w:rsid w:val="008E12AD"/>
    <w:rsid w:val="0092472F"/>
    <w:rsid w:val="00955C81"/>
    <w:rsid w:val="009659C2"/>
    <w:rsid w:val="0099311C"/>
    <w:rsid w:val="00A1EF34"/>
    <w:rsid w:val="00A20B4C"/>
    <w:rsid w:val="00A2514E"/>
    <w:rsid w:val="00A26727"/>
    <w:rsid w:val="00A43C53"/>
    <w:rsid w:val="00A605C3"/>
    <w:rsid w:val="00A74CEA"/>
    <w:rsid w:val="00A7596E"/>
    <w:rsid w:val="00B03D70"/>
    <w:rsid w:val="00B24AFC"/>
    <w:rsid w:val="00B357D5"/>
    <w:rsid w:val="00B37717"/>
    <w:rsid w:val="00B6143C"/>
    <w:rsid w:val="00B928BB"/>
    <w:rsid w:val="00C073C9"/>
    <w:rsid w:val="00C15AD7"/>
    <w:rsid w:val="00C37CBC"/>
    <w:rsid w:val="00C7501C"/>
    <w:rsid w:val="00D107F9"/>
    <w:rsid w:val="00D33B74"/>
    <w:rsid w:val="00D96F3B"/>
    <w:rsid w:val="00DA76F0"/>
    <w:rsid w:val="00DD55E4"/>
    <w:rsid w:val="00DE5BD6"/>
    <w:rsid w:val="00E56481"/>
    <w:rsid w:val="00E660DF"/>
    <w:rsid w:val="00E801B8"/>
    <w:rsid w:val="00E803ED"/>
    <w:rsid w:val="00F14F98"/>
    <w:rsid w:val="00F26722"/>
    <w:rsid w:val="00F6562F"/>
    <w:rsid w:val="024835A7"/>
    <w:rsid w:val="024F2836"/>
    <w:rsid w:val="02FE38AB"/>
    <w:rsid w:val="03446B4C"/>
    <w:rsid w:val="04DFCC3A"/>
    <w:rsid w:val="05479FED"/>
    <w:rsid w:val="0691B1BE"/>
    <w:rsid w:val="09562CCF"/>
    <w:rsid w:val="0B2734EA"/>
    <w:rsid w:val="0B2C2AB7"/>
    <w:rsid w:val="0B4E08ED"/>
    <w:rsid w:val="0B598CE0"/>
    <w:rsid w:val="0B7F6E9B"/>
    <w:rsid w:val="0BB9F544"/>
    <w:rsid w:val="0D135176"/>
    <w:rsid w:val="0D145B9F"/>
    <w:rsid w:val="0D2646B5"/>
    <w:rsid w:val="0DB6A656"/>
    <w:rsid w:val="0E25591E"/>
    <w:rsid w:val="0E63674D"/>
    <w:rsid w:val="0F1D8117"/>
    <w:rsid w:val="0F96B60A"/>
    <w:rsid w:val="0FC37865"/>
    <w:rsid w:val="103C33C2"/>
    <w:rsid w:val="110595C3"/>
    <w:rsid w:val="11200A6E"/>
    <w:rsid w:val="11B590B7"/>
    <w:rsid w:val="121A0604"/>
    <w:rsid w:val="1260E840"/>
    <w:rsid w:val="13570C69"/>
    <w:rsid w:val="138292FA"/>
    <w:rsid w:val="1479E2CC"/>
    <w:rsid w:val="149555F1"/>
    <w:rsid w:val="161CCEE5"/>
    <w:rsid w:val="17B561ED"/>
    <w:rsid w:val="18574328"/>
    <w:rsid w:val="18AE8D48"/>
    <w:rsid w:val="18C5A981"/>
    <w:rsid w:val="18C60050"/>
    <w:rsid w:val="18CB16BD"/>
    <w:rsid w:val="18DDDB40"/>
    <w:rsid w:val="1951324E"/>
    <w:rsid w:val="19F5D0EC"/>
    <w:rsid w:val="1A4E26E7"/>
    <w:rsid w:val="1C067667"/>
    <w:rsid w:val="1C3FCC1E"/>
    <w:rsid w:val="1C88D310"/>
    <w:rsid w:val="1E24A371"/>
    <w:rsid w:val="1FAFFBB9"/>
    <w:rsid w:val="1FC99469"/>
    <w:rsid w:val="20690388"/>
    <w:rsid w:val="207F3F56"/>
    <w:rsid w:val="21C6E391"/>
    <w:rsid w:val="232D44BC"/>
    <w:rsid w:val="2371A433"/>
    <w:rsid w:val="23751DB9"/>
    <w:rsid w:val="24240D43"/>
    <w:rsid w:val="254DA0D5"/>
    <w:rsid w:val="26465094"/>
    <w:rsid w:val="26726114"/>
    <w:rsid w:val="270D2EC4"/>
    <w:rsid w:val="28035315"/>
    <w:rsid w:val="28678DAF"/>
    <w:rsid w:val="295E6B11"/>
    <w:rsid w:val="29FE0D9D"/>
    <w:rsid w:val="2A0A9309"/>
    <w:rsid w:val="2A1AAC29"/>
    <w:rsid w:val="2A82059A"/>
    <w:rsid w:val="2AE9FFAD"/>
    <w:rsid w:val="2B6756B8"/>
    <w:rsid w:val="2B802F9E"/>
    <w:rsid w:val="2C092165"/>
    <w:rsid w:val="2D364BB9"/>
    <w:rsid w:val="2E948714"/>
    <w:rsid w:val="2F3EBDB4"/>
    <w:rsid w:val="2F506AC2"/>
    <w:rsid w:val="30EA8895"/>
    <w:rsid w:val="3134F9ED"/>
    <w:rsid w:val="3159C1E8"/>
    <w:rsid w:val="31BE3777"/>
    <w:rsid w:val="3287CC37"/>
    <w:rsid w:val="33105B0D"/>
    <w:rsid w:val="333920FC"/>
    <w:rsid w:val="339DDE79"/>
    <w:rsid w:val="33FE243C"/>
    <w:rsid w:val="34FB4C54"/>
    <w:rsid w:val="35071C7F"/>
    <w:rsid w:val="369CF4F5"/>
    <w:rsid w:val="36D1F61D"/>
    <w:rsid w:val="372DFC0E"/>
    <w:rsid w:val="378767B8"/>
    <w:rsid w:val="37C9036C"/>
    <w:rsid w:val="380B779B"/>
    <w:rsid w:val="3813E85A"/>
    <w:rsid w:val="38E814BD"/>
    <w:rsid w:val="3A42753A"/>
    <w:rsid w:val="3A798C84"/>
    <w:rsid w:val="3A8EF7BE"/>
    <w:rsid w:val="3AD51D9D"/>
    <w:rsid w:val="3AE35B1A"/>
    <w:rsid w:val="3AE77BD1"/>
    <w:rsid w:val="3AF1E5B8"/>
    <w:rsid w:val="3C013AC7"/>
    <w:rsid w:val="3C050405"/>
    <w:rsid w:val="3C41D35C"/>
    <w:rsid w:val="3CA71D26"/>
    <w:rsid w:val="3D2397AF"/>
    <w:rsid w:val="3D8FA4AF"/>
    <w:rsid w:val="3D975471"/>
    <w:rsid w:val="3DB82030"/>
    <w:rsid w:val="3DD26280"/>
    <w:rsid w:val="3DE0D327"/>
    <w:rsid w:val="3E0CBE5F"/>
    <w:rsid w:val="3E1F1C93"/>
    <w:rsid w:val="3E4593DA"/>
    <w:rsid w:val="3EC0C2EC"/>
    <w:rsid w:val="3EC29775"/>
    <w:rsid w:val="3EE16DF9"/>
    <w:rsid w:val="3F2F17CC"/>
    <w:rsid w:val="3FBAECF4"/>
    <w:rsid w:val="3FC5958B"/>
    <w:rsid w:val="4195232C"/>
    <w:rsid w:val="4202E30A"/>
    <w:rsid w:val="426B13E3"/>
    <w:rsid w:val="42717628"/>
    <w:rsid w:val="42D7449C"/>
    <w:rsid w:val="4330A086"/>
    <w:rsid w:val="43E650A9"/>
    <w:rsid w:val="43F34A46"/>
    <w:rsid w:val="449906AE"/>
    <w:rsid w:val="4592C469"/>
    <w:rsid w:val="459CB523"/>
    <w:rsid w:val="46B647AF"/>
    <w:rsid w:val="47488E48"/>
    <w:rsid w:val="48C5BF6B"/>
    <w:rsid w:val="492DD8E5"/>
    <w:rsid w:val="4AE8FDD3"/>
    <w:rsid w:val="4AFD9F9B"/>
    <w:rsid w:val="4C01FF72"/>
    <w:rsid w:val="4D9DCFD3"/>
    <w:rsid w:val="4EDD2748"/>
    <w:rsid w:val="4EF9C5D4"/>
    <w:rsid w:val="506C3E88"/>
    <w:rsid w:val="5094BBF7"/>
    <w:rsid w:val="50A4D30F"/>
    <w:rsid w:val="51113EC4"/>
    <w:rsid w:val="51836F03"/>
    <w:rsid w:val="534DDA32"/>
    <w:rsid w:val="536B57F0"/>
    <w:rsid w:val="53BA2DEB"/>
    <w:rsid w:val="54E408A6"/>
    <w:rsid w:val="55182014"/>
    <w:rsid w:val="559E7C9A"/>
    <w:rsid w:val="56D387F1"/>
    <w:rsid w:val="56E8BED7"/>
    <w:rsid w:val="5744DA6E"/>
    <w:rsid w:val="5768F5D9"/>
    <w:rsid w:val="57C61BF4"/>
    <w:rsid w:val="57E087BA"/>
    <w:rsid w:val="581BA968"/>
    <w:rsid w:val="59AA802C"/>
    <w:rsid w:val="5A46C47C"/>
    <w:rsid w:val="5A6F14BC"/>
    <w:rsid w:val="5ADF9E8A"/>
    <w:rsid w:val="5B0811F7"/>
    <w:rsid w:val="5B1AEF79"/>
    <w:rsid w:val="5E71C28F"/>
    <w:rsid w:val="5EF32141"/>
    <w:rsid w:val="5F57B184"/>
    <w:rsid w:val="5F5A75D1"/>
    <w:rsid w:val="5FAE3D78"/>
    <w:rsid w:val="607678C0"/>
    <w:rsid w:val="618D1EBA"/>
    <w:rsid w:val="61A956DE"/>
    <w:rsid w:val="62658D05"/>
    <w:rsid w:val="62797822"/>
    <w:rsid w:val="641A4BAE"/>
    <w:rsid w:val="64E10413"/>
    <w:rsid w:val="6575B31E"/>
    <w:rsid w:val="667CD474"/>
    <w:rsid w:val="6824D395"/>
    <w:rsid w:val="6850177B"/>
    <w:rsid w:val="68B6691A"/>
    <w:rsid w:val="6995ED9A"/>
    <w:rsid w:val="69A9102B"/>
    <w:rsid w:val="69C47974"/>
    <w:rsid w:val="6AAEBFCD"/>
    <w:rsid w:val="6B128598"/>
    <w:rsid w:val="6C5D0AF0"/>
    <w:rsid w:val="6C747DF8"/>
    <w:rsid w:val="6DFD94EB"/>
    <w:rsid w:val="6DFE2252"/>
    <w:rsid w:val="6E00DD72"/>
    <w:rsid w:val="6EF97623"/>
    <w:rsid w:val="6FFC7DA8"/>
    <w:rsid w:val="70372B7F"/>
    <w:rsid w:val="70948A10"/>
    <w:rsid w:val="71C774A1"/>
    <w:rsid w:val="71F436FC"/>
    <w:rsid w:val="721F61C1"/>
    <w:rsid w:val="7387078D"/>
    <w:rsid w:val="73BE845C"/>
    <w:rsid w:val="73CC2AD2"/>
    <w:rsid w:val="742229C7"/>
    <w:rsid w:val="74D7D00C"/>
    <w:rsid w:val="755A73BC"/>
    <w:rsid w:val="75A611C3"/>
    <w:rsid w:val="765C11A6"/>
    <w:rsid w:val="7662374D"/>
    <w:rsid w:val="76B7B168"/>
    <w:rsid w:val="76E8A9CF"/>
    <w:rsid w:val="793A1844"/>
    <w:rsid w:val="79799F40"/>
    <w:rsid w:val="7A7587DD"/>
    <w:rsid w:val="7B9EEFC6"/>
    <w:rsid w:val="7BC87CE0"/>
    <w:rsid w:val="7C11583E"/>
    <w:rsid w:val="7D36E9A3"/>
    <w:rsid w:val="7D4B871E"/>
    <w:rsid w:val="7D7BB712"/>
    <w:rsid w:val="7E5B9ACB"/>
    <w:rsid w:val="7E98FE0C"/>
    <w:rsid w:val="7EFA505D"/>
    <w:rsid w:val="7F3C2991"/>
    <w:rsid w:val="7FA56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87E7"/>
  <w15:chartTrackingRefBased/>
  <w15:docId w15:val="{5F6A0EF2-5039-49A6-A477-98C12DE6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A74CEA"/>
    <w:pPr>
      <w:keepNext/>
      <w:spacing w:before="240" w:after="60"/>
      <w:outlineLvl w:val="0"/>
    </w:pPr>
    <w:rPr>
      <w:rFonts w:eastAsia="Times New Roman"/>
      <w:b/>
      <w:bCs/>
      <w:color w:val="44546A"/>
      <w:kern w:val="32"/>
      <w:sz w:val="28"/>
      <w:szCs w:val="32"/>
    </w:rPr>
  </w:style>
  <w:style w:type="paragraph" w:styleId="Heading2">
    <w:name w:val="heading 2"/>
    <w:basedOn w:val="Normal"/>
    <w:next w:val="Normal"/>
    <w:link w:val="Heading2Char"/>
    <w:uiPriority w:val="9"/>
    <w:unhideWhenUsed/>
    <w:qFormat/>
    <w:rsid w:val="00A74CEA"/>
    <w:pPr>
      <w:keepNext/>
      <w:spacing w:before="240" w:after="60"/>
      <w:outlineLvl w:val="1"/>
    </w:pPr>
    <w:rPr>
      <w:rFonts w:eastAsia="Times New Roman"/>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0DF"/>
    <w:pPr>
      <w:tabs>
        <w:tab w:val="center" w:pos="4680"/>
        <w:tab w:val="right" w:pos="9360"/>
      </w:tabs>
    </w:pPr>
  </w:style>
  <w:style w:type="character" w:customStyle="1" w:styleId="HeaderChar">
    <w:name w:val="Header Char"/>
    <w:link w:val="Header"/>
    <w:uiPriority w:val="99"/>
    <w:rsid w:val="00E660DF"/>
    <w:rPr>
      <w:sz w:val="22"/>
      <w:szCs w:val="22"/>
    </w:rPr>
  </w:style>
  <w:style w:type="paragraph" w:styleId="Footer">
    <w:name w:val="footer"/>
    <w:basedOn w:val="Normal"/>
    <w:link w:val="FooterChar"/>
    <w:uiPriority w:val="99"/>
    <w:unhideWhenUsed/>
    <w:rsid w:val="00E660DF"/>
    <w:pPr>
      <w:tabs>
        <w:tab w:val="center" w:pos="4680"/>
        <w:tab w:val="right" w:pos="9360"/>
      </w:tabs>
    </w:pPr>
  </w:style>
  <w:style w:type="character" w:customStyle="1" w:styleId="FooterChar">
    <w:name w:val="Footer Char"/>
    <w:link w:val="Footer"/>
    <w:uiPriority w:val="99"/>
    <w:rsid w:val="00E660DF"/>
    <w:rPr>
      <w:sz w:val="22"/>
      <w:szCs w:val="22"/>
    </w:rPr>
  </w:style>
  <w:style w:type="paragraph" w:styleId="BalloonText">
    <w:name w:val="Balloon Text"/>
    <w:basedOn w:val="Normal"/>
    <w:link w:val="BalloonTextChar"/>
    <w:uiPriority w:val="99"/>
    <w:semiHidden/>
    <w:unhideWhenUsed/>
    <w:rsid w:val="005C6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6376"/>
    <w:rPr>
      <w:rFonts w:ascii="Tahoma" w:hAnsi="Tahoma" w:cs="Tahoma"/>
      <w:sz w:val="16"/>
      <w:szCs w:val="16"/>
    </w:rPr>
  </w:style>
  <w:style w:type="character" w:styleId="Strong">
    <w:name w:val="Strong"/>
    <w:uiPriority w:val="22"/>
    <w:qFormat/>
    <w:rsid w:val="00561A3C"/>
    <w:rPr>
      <w:b/>
      <w:bCs/>
    </w:rPr>
  </w:style>
  <w:style w:type="character" w:styleId="Hyperlink">
    <w:name w:val="Hyperlink"/>
    <w:uiPriority w:val="99"/>
    <w:unhideWhenUsed/>
    <w:rPr>
      <w:color w:val="0563C1"/>
      <w:u w:val="single"/>
    </w:rPr>
  </w:style>
  <w:style w:type="character" w:customStyle="1" w:styleId="Heading1Char">
    <w:name w:val="Heading 1 Char"/>
    <w:link w:val="Heading1"/>
    <w:uiPriority w:val="9"/>
    <w:rsid w:val="00A74CEA"/>
    <w:rPr>
      <w:rFonts w:eastAsia="Times New Roman"/>
      <w:b/>
      <w:bCs/>
      <w:color w:val="44546A"/>
      <w:kern w:val="32"/>
      <w:sz w:val="28"/>
      <w:szCs w:val="32"/>
    </w:rPr>
  </w:style>
  <w:style w:type="character" w:customStyle="1" w:styleId="Heading2Char">
    <w:name w:val="Heading 2 Char"/>
    <w:link w:val="Heading2"/>
    <w:uiPriority w:val="9"/>
    <w:rsid w:val="00A74CEA"/>
    <w:rPr>
      <w:rFonts w:eastAsia="Times New Roman"/>
      <w:b/>
      <w:bCs/>
      <w:iCs/>
      <w:sz w:val="26"/>
      <w:szCs w:val="28"/>
    </w:rPr>
  </w:style>
  <w:style w:type="character" w:customStyle="1" w:styleId="UnresolvedMention">
    <w:name w:val="Unresolved Mention"/>
    <w:uiPriority w:val="99"/>
    <w:semiHidden/>
    <w:unhideWhenUsed/>
    <w:rsid w:val="0049467F"/>
    <w:rPr>
      <w:color w:val="605E5C"/>
      <w:shd w:val="clear" w:color="auto" w:fill="E1DFDD"/>
    </w:rPr>
  </w:style>
  <w:style w:type="paragraph" w:styleId="Title">
    <w:name w:val="Title"/>
    <w:basedOn w:val="Normal"/>
    <w:next w:val="Normal"/>
    <w:link w:val="TitleChar"/>
    <w:uiPriority w:val="10"/>
    <w:qFormat/>
    <w:rsid w:val="00A74CEA"/>
    <w:pPr>
      <w:spacing w:before="240" w:after="60"/>
      <w:outlineLvl w:val="0"/>
    </w:pPr>
    <w:rPr>
      <w:rFonts w:eastAsia="Times New Roman"/>
      <w:b/>
      <w:bCs/>
      <w:color w:val="A42035"/>
      <w:kern w:val="28"/>
      <w:sz w:val="32"/>
      <w:szCs w:val="32"/>
    </w:rPr>
  </w:style>
  <w:style w:type="character" w:customStyle="1" w:styleId="TitleChar">
    <w:name w:val="Title Char"/>
    <w:link w:val="Title"/>
    <w:uiPriority w:val="10"/>
    <w:rsid w:val="00A74CEA"/>
    <w:rPr>
      <w:rFonts w:eastAsia="Times New Roman" w:cs="Times New Roman"/>
      <w:b/>
      <w:bCs/>
      <w:color w:val="A4203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22170">
      <w:bodyDiv w:val="1"/>
      <w:marLeft w:val="0"/>
      <w:marRight w:val="0"/>
      <w:marTop w:val="0"/>
      <w:marBottom w:val="0"/>
      <w:divBdr>
        <w:top w:val="none" w:sz="0" w:space="0" w:color="auto"/>
        <w:left w:val="none" w:sz="0" w:space="0" w:color="auto"/>
        <w:bottom w:val="none" w:sz="0" w:space="0" w:color="auto"/>
        <w:right w:val="none" w:sz="0" w:space="0" w:color="auto"/>
      </w:divBdr>
    </w:div>
    <w:div w:id="1416509036">
      <w:bodyDiv w:val="1"/>
      <w:marLeft w:val="0"/>
      <w:marRight w:val="0"/>
      <w:marTop w:val="0"/>
      <w:marBottom w:val="0"/>
      <w:divBdr>
        <w:top w:val="none" w:sz="0" w:space="0" w:color="auto"/>
        <w:left w:val="none" w:sz="0" w:space="0" w:color="auto"/>
        <w:bottom w:val="none" w:sz="0" w:space="0" w:color="auto"/>
        <w:right w:val="none" w:sz="0" w:space="0" w:color="auto"/>
      </w:divBdr>
    </w:div>
    <w:div w:id="15629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0000-0002-9821-770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su.edu/people/nicole-g-weiskopf-ph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su.edu/people/michelle-r-hribar-phd-ms" TargetMode="External"/><Relationship Id="rId5" Type="http://schemas.openxmlformats.org/officeDocument/2006/relationships/numbering" Target="numbering.xml"/><Relationship Id="rId15" Type="http://schemas.openxmlformats.org/officeDocument/2006/relationships/hyperlink" Target="https://shileyeye.ucsd.edu/faculty/sallylbaxt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0000-0002-9821-77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ALL\Education\Education%20Courses%20Forms%20and%20Guidelines\ARVO%20Education%20Course-%20Sample%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E076422B46E245AC1A8E7957231072" ma:contentTypeVersion="14" ma:contentTypeDescription="Create a new document." ma:contentTypeScope="" ma:versionID="07f5bb210f2bdda350901eb1672af167">
  <xsd:schema xmlns:xsd="http://www.w3.org/2001/XMLSchema" xmlns:xs="http://www.w3.org/2001/XMLSchema" xmlns:p="http://schemas.microsoft.com/office/2006/metadata/properties" xmlns:ns3="88249dfb-555f-40f6-bd7a-88c621364e9d" xmlns:ns4="01eee5e8-ba7d-48f2-a886-60809b59addc" targetNamespace="http://schemas.microsoft.com/office/2006/metadata/properties" ma:root="true" ma:fieldsID="676a8daaf3019aea5a45eba69fbcaed7" ns3:_="" ns4:_="">
    <xsd:import namespace="88249dfb-555f-40f6-bd7a-88c621364e9d"/>
    <xsd:import namespace="01eee5e8-ba7d-48f2-a886-60809b59ad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49dfb-555f-40f6-bd7a-88c62136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ee5e8-ba7d-48f2-a886-60809b59ad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2A890-98D9-4196-BBB3-FE8A7CF0652F}">
  <ds:schemaRefs>
    <ds:schemaRef ds:uri="http://schemas.microsoft.com/office/2006/metadata/longProperties"/>
  </ds:schemaRefs>
</ds:datastoreItem>
</file>

<file path=customXml/itemProps2.xml><?xml version="1.0" encoding="utf-8"?>
<ds:datastoreItem xmlns:ds="http://schemas.openxmlformats.org/officeDocument/2006/customXml" ds:itemID="{921C87D7-A908-4E36-900B-A10D848B07A8}">
  <ds:schemaRefs>
    <ds:schemaRef ds:uri="http://schemas.microsoft.com/sharepoint/v3/contenttype/forms"/>
  </ds:schemaRefs>
</ds:datastoreItem>
</file>

<file path=customXml/itemProps3.xml><?xml version="1.0" encoding="utf-8"?>
<ds:datastoreItem xmlns:ds="http://schemas.openxmlformats.org/officeDocument/2006/customXml" ds:itemID="{69778D30-45DD-46D4-9768-1862C59CC9E1}">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01eee5e8-ba7d-48f2-a886-60809b59addc"/>
    <ds:schemaRef ds:uri="88249dfb-555f-40f6-bd7a-88c621364e9d"/>
    <ds:schemaRef ds:uri="http://www.w3.org/XML/1998/namespace"/>
    <ds:schemaRef ds:uri="http://purl.org/dc/dcmitype/"/>
  </ds:schemaRefs>
</ds:datastoreItem>
</file>

<file path=customXml/itemProps4.xml><?xml version="1.0" encoding="utf-8"?>
<ds:datastoreItem xmlns:ds="http://schemas.openxmlformats.org/officeDocument/2006/customXml" ds:itemID="{9CAD30F2-49B7-4966-9223-181C915C2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49dfb-555f-40f6-bd7a-88c621364e9d"/>
    <ds:schemaRef ds:uri="01eee5e8-ba7d-48f2-a886-60809b59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ARVO Education Course- Sample Agenda</Template>
  <TotalTime>1</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Conley</dc:creator>
  <cp:keywords/>
  <cp:lastModifiedBy>Baxter, Sally</cp:lastModifiedBy>
  <cp:revision>3</cp:revision>
  <dcterms:created xsi:type="dcterms:W3CDTF">2023-03-06T22:28:00Z</dcterms:created>
  <dcterms:modified xsi:type="dcterms:W3CDTF">2023-03-06T22:29:00Z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Cathy Conley</vt:lpwstr>
  </property>
  <property fmtid="{D5CDD505-2E9C-101B-9397-08002B2CF9AE}" pid="3" name="Order">
    <vt:lpwstr>100.000000000000</vt:lpwstr>
  </property>
  <property fmtid="{D5CDD505-2E9C-101B-9397-08002B2CF9AE}" pid="4" name="display_urn:schemas-microsoft-com:office:office#Author">
    <vt:lpwstr>Cathy Conley</vt:lpwstr>
  </property>
  <property fmtid="{D5CDD505-2E9C-101B-9397-08002B2CF9AE}" pid="5" name="ContentTypeId">
    <vt:lpwstr>0x0101002AE076422B46E245AC1A8E7957231072</vt:lpwstr>
  </property>
  <property fmtid="{D5CDD505-2E9C-101B-9397-08002B2CF9AE}" pid="6" name="MediaServiceImageTags">
    <vt:lpwstr/>
  </property>
</Properties>
</file>