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23E6F" w14:textId="77777777" w:rsidR="00C52931" w:rsidRDefault="00C52931" w:rsidP="00384160">
      <w:pPr>
        <w:pStyle w:val="Title"/>
      </w:pPr>
      <w:r>
        <w:t>Accredited Continuing Education Program Information</w:t>
      </w:r>
    </w:p>
    <w:p w14:paraId="7E0E3ACE" w14:textId="77777777" w:rsidR="00631B7B" w:rsidRDefault="00631B7B" w:rsidP="00384160">
      <w:pPr>
        <w:pStyle w:val="Heading2"/>
        <w:rPr>
          <w:color w:val="44546A" w:themeColor="text2"/>
          <w:sz w:val="28"/>
          <w:szCs w:val="32"/>
        </w:rPr>
      </w:pPr>
      <w:r w:rsidRPr="00631B7B">
        <w:rPr>
          <w:color w:val="44546A" w:themeColor="text2"/>
          <w:sz w:val="28"/>
          <w:szCs w:val="32"/>
        </w:rPr>
        <w:t>Registries in ophthalmic diseases: Their development and use in research</w:t>
      </w:r>
    </w:p>
    <w:p w14:paraId="05E861CC" w14:textId="0344B631" w:rsidR="00C52931" w:rsidRDefault="00C52931" w:rsidP="00384160">
      <w:pPr>
        <w:pStyle w:val="Heading2"/>
      </w:pPr>
      <w:r>
        <w:t>Course Organizers</w:t>
      </w:r>
    </w:p>
    <w:p w14:paraId="6C3234D5" w14:textId="0384FA39" w:rsidR="00400401" w:rsidRPr="00400401" w:rsidRDefault="00E84851" w:rsidP="00E84851">
      <w:r w:rsidRPr="00E84851">
        <w:rPr>
          <w:b/>
          <w:bCs/>
        </w:rPr>
        <w:t>Anne Lynch MB, BCH, BAO, MSPH,</w:t>
      </w:r>
      <w:r>
        <w:t xml:space="preserve"> Department of Ophthalmology, University of Colorado School of Medicine; Colorado School of Public Health</w:t>
      </w:r>
      <w:r>
        <w:br/>
      </w:r>
      <w:r w:rsidRPr="00E84851">
        <w:rPr>
          <w:b/>
          <w:bCs/>
        </w:rPr>
        <w:t>Jennifer Patnaik, PhD,</w:t>
      </w:r>
      <w:r>
        <w:t xml:space="preserve"> Division of Ophthalmic Epidemiology, Department of Ophthalmology, University of Colorado School of Medicine; Colorado School of Public Health</w:t>
      </w:r>
    </w:p>
    <w:p w14:paraId="28104DFE" w14:textId="5796D24F" w:rsidR="00C52931" w:rsidRDefault="00C52931" w:rsidP="00384160">
      <w:pPr>
        <w:pStyle w:val="Heading2"/>
      </w:pPr>
      <w:r>
        <w:t>Course Description</w:t>
      </w:r>
    </w:p>
    <w:p w14:paraId="6465C893" w14:textId="3557659D" w:rsidR="00DC2913" w:rsidRDefault="00DC2913" w:rsidP="00DC2913">
      <w:r>
        <w:t>Over the past few decades there has been an emergence of several large Ophthalmologic registries, notably the IRIS and SOURCE registries, which are national databases that have utilized downloading data from the electronic medical record. Registries can be very useful for quality improvement and supporting evidence-based medicine which are important for clinical practice, however, lack of hands-on experience in handling datasets and insufficient course-work in database management oftentimes leads to inadequate management of these databases.</w:t>
      </w:r>
    </w:p>
    <w:p w14:paraId="1DD376DF" w14:textId="74E1F746" w:rsidR="00400401" w:rsidRPr="00400401" w:rsidRDefault="00DC2913" w:rsidP="00DC2913">
      <w:r>
        <w:t>Attend this course if you are an eye and vision researcher contemplating setting up databases for eye diseases and are interested in hearing “lessons-learned” from setting up registries, specifically: AMD, cataract outcomes, and retinopathy of prematurity, and in other areas of ophthalmology such as: Big data, Inherited retinal disease, Neuro-ophthalmology and multi-site registries. Participants will leave with helpful tools to conduct their research and insights into how to manage data and build registries.</w:t>
      </w:r>
    </w:p>
    <w:p w14:paraId="15A6FD34" w14:textId="77777777" w:rsidR="00C52931" w:rsidRDefault="00C52931" w:rsidP="00384160">
      <w:pPr>
        <w:pStyle w:val="Heading2"/>
      </w:pPr>
      <w:r>
        <w:t xml:space="preserve">Physician Accreditation Statement </w:t>
      </w:r>
    </w:p>
    <w:p w14:paraId="424C7A19" w14:textId="77777777" w:rsidR="00C52931" w:rsidRDefault="00C52931" w:rsidP="00C52931">
      <w:r>
        <w:t>The Association for Research in Vision and Ophthalmology (ARVO) is accredited by the Accreditation Council for Continuing Medical Education (ACCME) to provide continuing medical education for physicians.</w:t>
      </w:r>
    </w:p>
    <w:p w14:paraId="0AF4F27E" w14:textId="77777777" w:rsidR="00C52931" w:rsidRDefault="00C52931" w:rsidP="00384160">
      <w:pPr>
        <w:pStyle w:val="Heading2"/>
      </w:pPr>
      <w:r>
        <w:t xml:space="preserve">Physician Credit Designation </w:t>
      </w:r>
    </w:p>
    <w:p w14:paraId="72078457" w14:textId="172DF8F8" w:rsidR="00C52931" w:rsidRDefault="00C52931" w:rsidP="00C52931">
      <w:r>
        <w:t xml:space="preserve">ARVO designates this live activity for </w:t>
      </w:r>
      <w:r w:rsidR="00035318">
        <w:t xml:space="preserve">3.75 </w:t>
      </w:r>
      <w:r w:rsidRPr="00035318">
        <w:rPr>
          <w:i/>
          <w:iCs/>
        </w:rPr>
        <w:t>AMA PRA Category 1 Credits™.</w:t>
      </w:r>
      <w:r>
        <w:t xml:space="preserve"> Physicians should claim only the credit commensurate with the extent of their participation in the activity. </w:t>
      </w:r>
    </w:p>
    <w:p w14:paraId="256D0321" w14:textId="77777777" w:rsidR="00C52931" w:rsidRDefault="00C52931" w:rsidP="00C52931">
      <w:r>
        <w:t xml:space="preserve">International Attendees: The American Medical Association (AMA) has determined that physicians not licensed in the U.S. who participate in CME activities are eligible for </w:t>
      </w:r>
      <w:r w:rsidRPr="00384160">
        <w:rPr>
          <w:i/>
          <w:iCs/>
        </w:rPr>
        <w:t>AMA PRA Category 1 Credits™.</w:t>
      </w:r>
      <w:r>
        <w:t xml:space="preserve"> </w:t>
      </w:r>
    </w:p>
    <w:p w14:paraId="621DD6D6" w14:textId="77777777" w:rsidR="00C52931" w:rsidRDefault="00C52931" w:rsidP="00384160">
      <w:pPr>
        <w:pStyle w:val="Heading2"/>
      </w:pPr>
      <w:r>
        <w:t>Statement of Need</w:t>
      </w:r>
    </w:p>
    <w:p w14:paraId="1A0602D0" w14:textId="77777777" w:rsidR="00193694" w:rsidRDefault="00193694" w:rsidP="00193694">
      <w:r>
        <w:t xml:space="preserve">With the recognition that these and other databases are rich sources of data, we feel we are at an important juncture in the education of ophthalmologists and fellow researchers to provide them with the tools to use registries to address research questions associated with diseases of the eye. Registries can also be very useful for quality improvement and supporting evidence-based medicine which are important for clinical practice. </w:t>
      </w:r>
    </w:p>
    <w:p w14:paraId="2DC7C562" w14:textId="32818B14" w:rsidR="00C52931" w:rsidRDefault="00193694" w:rsidP="00193694">
      <w:r>
        <w:t>However, based on our mentoring experience, it is our observation that the handling of data in ophthalmic databases is an area that requires more attention and education. Many of our mentees struggle when faced with how to address a research question using a database.</w:t>
      </w:r>
    </w:p>
    <w:p w14:paraId="63EBFAD2" w14:textId="77777777" w:rsidR="00C52931" w:rsidRDefault="00C52931" w:rsidP="00384160">
      <w:pPr>
        <w:pStyle w:val="Heading2"/>
      </w:pPr>
      <w:r>
        <w:lastRenderedPageBreak/>
        <w:t>Target Audience</w:t>
      </w:r>
    </w:p>
    <w:p w14:paraId="0ACB115C" w14:textId="7B7F7DED" w:rsidR="00BA47FA" w:rsidRDefault="00BA47FA" w:rsidP="00BA47FA">
      <w:r>
        <w:t>The target audience would be researchers who are contemplating setting up databases in eye diseases. These would be individuals who want to learn how to</w:t>
      </w:r>
      <w:r w:rsidR="005C6D12">
        <w:t xml:space="preserve"> design, build, use and manage a </w:t>
      </w:r>
      <w:r w:rsidR="00571DA2">
        <w:t xml:space="preserve">clinical registry database. </w:t>
      </w:r>
    </w:p>
    <w:p w14:paraId="2AE97DAE" w14:textId="77777777" w:rsidR="00C52931" w:rsidRDefault="00C52931" w:rsidP="00645B6F">
      <w:pPr>
        <w:pStyle w:val="Heading2"/>
      </w:pPr>
      <w:r>
        <w:t>Educational Objectives</w:t>
      </w:r>
    </w:p>
    <w:p w14:paraId="0315B60D" w14:textId="77777777" w:rsidR="00645B6F" w:rsidRDefault="00C52931" w:rsidP="00C52931">
      <w:r>
        <w:t>After participating in this CME activity, participants should be able to:</w:t>
      </w:r>
    </w:p>
    <w:p w14:paraId="140656C7" w14:textId="77777777" w:rsidR="00DE518E" w:rsidRDefault="00DE518E" w:rsidP="00DE518E">
      <w:pPr>
        <w:pStyle w:val="ListParagraph"/>
        <w:numPr>
          <w:ilvl w:val="0"/>
          <w:numId w:val="5"/>
        </w:numPr>
      </w:pPr>
      <w:r>
        <w:t>Set up a registry/database and understand the key steps to include in the process</w:t>
      </w:r>
    </w:p>
    <w:p w14:paraId="523BCE55" w14:textId="77777777" w:rsidR="00DE518E" w:rsidRDefault="00DE518E" w:rsidP="00DE518E">
      <w:pPr>
        <w:pStyle w:val="ListParagraph"/>
        <w:numPr>
          <w:ilvl w:val="0"/>
          <w:numId w:val="5"/>
        </w:numPr>
      </w:pPr>
      <w:r>
        <w:t>Conduct quality research from an existing registry/database</w:t>
      </w:r>
    </w:p>
    <w:p w14:paraId="5B677C00" w14:textId="77777777" w:rsidR="00DE518E" w:rsidRDefault="00DE518E" w:rsidP="00DE518E">
      <w:pPr>
        <w:pStyle w:val="ListParagraph"/>
        <w:numPr>
          <w:ilvl w:val="0"/>
          <w:numId w:val="5"/>
        </w:numPr>
      </w:pPr>
      <w:r>
        <w:t>Describe the challenges associated with the use of an existing database/registry and specifically with the use of longitudinal data</w:t>
      </w:r>
    </w:p>
    <w:p w14:paraId="7C6CE103" w14:textId="4CF96E2B" w:rsidR="00400401" w:rsidRDefault="00DE518E" w:rsidP="00C52931">
      <w:pPr>
        <w:pStyle w:val="ListParagraph"/>
        <w:numPr>
          <w:ilvl w:val="0"/>
          <w:numId w:val="5"/>
        </w:numPr>
      </w:pPr>
      <w:r>
        <w:t>Add modules to an existing database in order to continue to build and advance the utility of the registry</w:t>
      </w:r>
    </w:p>
    <w:p w14:paraId="2FA2A02D" w14:textId="77777777" w:rsidR="00C52931" w:rsidRDefault="00C52931" w:rsidP="0099117D">
      <w:pPr>
        <w:pStyle w:val="Heading2"/>
      </w:pPr>
      <w:r>
        <w:t>European Union of Medical Specialists (UEMS) CME/CPD Requirements</w:t>
      </w:r>
    </w:p>
    <w:p w14:paraId="0CE7A6BB" w14:textId="77777777" w:rsidR="00C52931" w:rsidRDefault="00C52931" w:rsidP="00C52931">
      <w:r>
        <w:t>European physicians can convert CME credit from the course to meet European Union of Medical Specialists (UEMS) CME/CPD requirements.</w:t>
      </w:r>
    </w:p>
    <w:p w14:paraId="2DF4193E" w14:textId="77777777" w:rsidR="00C52931" w:rsidRDefault="00C52931" w:rsidP="00C52931">
      <w:r>
        <w:t xml:space="preserve">The American Medical Association has an agreement of mutual recognition of CME credits with the UEMS, the accreditation body for European countries. Physicians interested in converting </w:t>
      </w:r>
      <w:r w:rsidRPr="0099117D">
        <w:rPr>
          <w:i/>
          <w:iCs/>
        </w:rPr>
        <w:t>AMA PRA Category 1 Credit™</w:t>
      </w:r>
      <w:r>
        <w:t xml:space="preserve"> to UEMS-European Accreditation Council for Continuing Medical Education CME credits (ECMECs) should contact the UEMS at mutualrecognition@uems.eu. </w:t>
      </w:r>
    </w:p>
    <w:p w14:paraId="08793A0A" w14:textId="77777777" w:rsidR="00C52931" w:rsidRDefault="00C52931" w:rsidP="0099117D">
      <w:pPr>
        <w:pStyle w:val="Heading2"/>
      </w:pPr>
      <w:r>
        <w:t>CME Credits and Certificates Fee</w:t>
      </w:r>
    </w:p>
    <w:p w14:paraId="693A730A" w14:textId="467C12E6" w:rsidR="009F7C79" w:rsidRDefault="00C52931" w:rsidP="00C52931">
      <w:r>
        <w:t xml:space="preserve">Learners who register for “CME Credits and Certificates” as part of their Annual Meeting registration are eligible to claim </w:t>
      </w:r>
      <w:r w:rsidRPr="0099117D">
        <w:rPr>
          <w:i/>
          <w:iCs/>
        </w:rPr>
        <w:t>AMA PRA Category 1 Credit™</w:t>
      </w:r>
      <w:r>
        <w:t xml:space="preserve"> for participating in this course. This fee is paid once and covers credit claiming for an Education Course and the Annual Meeting.</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980"/>
        <w:gridCol w:w="2425"/>
      </w:tblGrid>
      <w:tr w:rsidR="00C52931" w:rsidRPr="00C52931" w14:paraId="31464966" w14:textId="77777777" w:rsidTr="005F0966">
        <w:trPr>
          <w:trHeight w:val="299"/>
        </w:trPr>
        <w:tc>
          <w:tcPr>
            <w:tcW w:w="5665" w:type="dxa"/>
            <w:shd w:val="clear" w:color="auto" w:fill="auto"/>
            <w:noWrap/>
            <w:hideMark/>
          </w:tcPr>
          <w:p w14:paraId="7AEE41CC" w14:textId="77777777" w:rsidR="00C52931" w:rsidRPr="00C52931" w:rsidRDefault="00C52931" w:rsidP="00C52931">
            <w:pPr>
              <w:rPr>
                <w:b/>
                <w:bCs/>
              </w:rPr>
            </w:pPr>
            <w:r w:rsidRPr="00C52931">
              <w:rPr>
                <w:b/>
                <w:bCs/>
              </w:rPr>
              <w:t>CME credits and certificate fee</w:t>
            </w:r>
          </w:p>
          <w:p w14:paraId="215F35AF" w14:textId="77777777" w:rsidR="00C52931" w:rsidRPr="00C52931" w:rsidRDefault="00C52931" w:rsidP="00C52931">
            <w:pPr>
              <w:rPr>
                <w:b/>
                <w:bCs/>
              </w:rPr>
            </w:pPr>
          </w:p>
        </w:tc>
        <w:tc>
          <w:tcPr>
            <w:tcW w:w="1980" w:type="dxa"/>
            <w:shd w:val="clear" w:color="auto" w:fill="auto"/>
            <w:noWrap/>
            <w:hideMark/>
          </w:tcPr>
          <w:p w14:paraId="5C9B36BD" w14:textId="77777777" w:rsidR="00C52931" w:rsidRPr="00C52931" w:rsidRDefault="00C52931" w:rsidP="00C52931">
            <w:pPr>
              <w:rPr>
                <w:b/>
                <w:bCs/>
              </w:rPr>
            </w:pPr>
            <w:r w:rsidRPr="00C52931">
              <w:rPr>
                <w:b/>
                <w:bCs/>
              </w:rPr>
              <w:t>By March 15</w:t>
            </w:r>
          </w:p>
        </w:tc>
        <w:tc>
          <w:tcPr>
            <w:tcW w:w="2425" w:type="dxa"/>
            <w:shd w:val="clear" w:color="auto" w:fill="auto"/>
            <w:noWrap/>
            <w:hideMark/>
          </w:tcPr>
          <w:p w14:paraId="498FEB64" w14:textId="77777777" w:rsidR="00C52931" w:rsidRPr="00C52931" w:rsidRDefault="00C52931" w:rsidP="00C52931">
            <w:pPr>
              <w:rPr>
                <w:b/>
                <w:bCs/>
              </w:rPr>
            </w:pPr>
            <w:r w:rsidRPr="00C52931">
              <w:rPr>
                <w:b/>
                <w:bCs/>
              </w:rPr>
              <w:t>After March 15</w:t>
            </w:r>
          </w:p>
        </w:tc>
      </w:tr>
      <w:tr w:rsidR="00C52931" w:rsidRPr="00C52931" w14:paraId="5A90094D" w14:textId="77777777" w:rsidTr="005F0966">
        <w:trPr>
          <w:trHeight w:val="299"/>
        </w:trPr>
        <w:tc>
          <w:tcPr>
            <w:tcW w:w="5665" w:type="dxa"/>
            <w:shd w:val="clear" w:color="auto" w:fill="auto"/>
            <w:noWrap/>
            <w:hideMark/>
          </w:tcPr>
          <w:p w14:paraId="707AA15F" w14:textId="77777777" w:rsidR="00C52931" w:rsidRPr="00C52931" w:rsidRDefault="00C52931" w:rsidP="00C52931">
            <w:r w:rsidRPr="00C52931">
              <w:t>ARVO MIT/Nonmember-in-Training</w:t>
            </w:r>
          </w:p>
        </w:tc>
        <w:tc>
          <w:tcPr>
            <w:tcW w:w="1980" w:type="dxa"/>
            <w:shd w:val="clear" w:color="auto" w:fill="auto"/>
            <w:noWrap/>
            <w:hideMark/>
          </w:tcPr>
          <w:p w14:paraId="2B8DB91E" w14:textId="77777777" w:rsidR="00C52931" w:rsidRPr="00C52931" w:rsidRDefault="00C52931" w:rsidP="00C52931">
            <w:r w:rsidRPr="00C52931">
              <w:t>$ 79</w:t>
            </w:r>
          </w:p>
        </w:tc>
        <w:tc>
          <w:tcPr>
            <w:tcW w:w="2425" w:type="dxa"/>
            <w:shd w:val="clear" w:color="auto" w:fill="auto"/>
            <w:noWrap/>
            <w:hideMark/>
          </w:tcPr>
          <w:p w14:paraId="77037442" w14:textId="77777777" w:rsidR="00C52931" w:rsidRPr="00C52931" w:rsidRDefault="00C52931" w:rsidP="00C52931">
            <w:r w:rsidRPr="00C52931">
              <w:t>$ 79</w:t>
            </w:r>
          </w:p>
        </w:tc>
      </w:tr>
      <w:tr w:rsidR="00C52931" w:rsidRPr="00C52931" w14:paraId="59FABD31" w14:textId="77777777" w:rsidTr="005F0966">
        <w:trPr>
          <w:trHeight w:val="299"/>
        </w:trPr>
        <w:tc>
          <w:tcPr>
            <w:tcW w:w="5665" w:type="dxa"/>
            <w:shd w:val="clear" w:color="auto" w:fill="auto"/>
            <w:noWrap/>
            <w:hideMark/>
          </w:tcPr>
          <w:p w14:paraId="62C1BC97" w14:textId="77777777" w:rsidR="00C52931" w:rsidRPr="00C52931" w:rsidRDefault="00C52931" w:rsidP="00C52931">
            <w:r w:rsidRPr="00C52931">
              <w:t>ARVO Member/Exhibitor (paid full-meeting access badge) </w:t>
            </w:r>
          </w:p>
        </w:tc>
        <w:tc>
          <w:tcPr>
            <w:tcW w:w="1980" w:type="dxa"/>
            <w:shd w:val="clear" w:color="auto" w:fill="auto"/>
            <w:noWrap/>
            <w:hideMark/>
          </w:tcPr>
          <w:p w14:paraId="3D6CE318" w14:textId="77777777" w:rsidR="00C52931" w:rsidRPr="00C52931" w:rsidRDefault="00C52931" w:rsidP="00C52931">
            <w:r w:rsidRPr="00C52931">
              <w:t>$ 99</w:t>
            </w:r>
          </w:p>
        </w:tc>
        <w:tc>
          <w:tcPr>
            <w:tcW w:w="2425" w:type="dxa"/>
            <w:shd w:val="clear" w:color="auto" w:fill="auto"/>
            <w:noWrap/>
            <w:hideMark/>
          </w:tcPr>
          <w:p w14:paraId="1550DB53" w14:textId="77777777" w:rsidR="00C52931" w:rsidRPr="00C52931" w:rsidRDefault="00C52931" w:rsidP="00C52931">
            <w:r w:rsidRPr="00C52931">
              <w:t>$ 119</w:t>
            </w:r>
          </w:p>
        </w:tc>
      </w:tr>
      <w:tr w:rsidR="00C52931" w:rsidRPr="00C52931" w14:paraId="5715A12B" w14:textId="77777777" w:rsidTr="005F0966">
        <w:trPr>
          <w:trHeight w:val="557"/>
        </w:trPr>
        <w:tc>
          <w:tcPr>
            <w:tcW w:w="5665" w:type="dxa"/>
            <w:shd w:val="clear" w:color="auto" w:fill="auto"/>
            <w:noWrap/>
            <w:hideMark/>
          </w:tcPr>
          <w:p w14:paraId="0338E9EE" w14:textId="77777777" w:rsidR="00C52931" w:rsidRPr="00C52931" w:rsidRDefault="00C52931" w:rsidP="00C52931">
            <w:r w:rsidRPr="00C52931">
              <w:t>Nonmember/Exhibitor (complimentary full meeting access badge only)</w:t>
            </w:r>
          </w:p>
        </w:tc>
        <w:tc>
          <w:tcPr>
            <w:tcW w:w="1980" w:type="dxa"/>
            <w:shd w:val="clear" w:color="auto" w:fill="auto"/>
            <w:noWrap/>
            <w:hideMark/>
          </w:tcPr>
          <w:p w14:paraId="3972FCDE" w14:textId="77777777" w:rsidR="00C52931" w:rsidRPr="00C52931" w:rsidRDefault="00C52931" w:rsidP="00C52931">
            <w:r w:rsidRPr="00C52931">
              <w:t>$ 99</w:t>
            </w:r>
          </w:p>
        </w:tc>
        <w:tc>
          <w:tcPr>
            <w:tcW w:w="2425" w:type="dxa"/>
            <w:shd w:val="clear" w:color="auto" w:fill="auto"/>
            <w:noWrap/>
            <w:hideMark/>
          </w:tcPr>
          <w:p w14:paraId="0B5BAD57" w14:textId="77777777" w:rsidR="00C52931" w:rsidRPr="00C52931" w:rsidRDefault="00C52931" w:rsidP="00C52931">
            <w:r w:rsidRPr="00C52931">
              <w:t>$ 119</w:t>
            </w:r>
          </w:p>
        </w:tc>
      </w:tr>
    </w:tbl>
    <w:p w14:paraId="20EDE5E3" w14:textId="580212D4" w:rsidR="00C52931" w:rsidRDefault="00C52931" w:rsidP="00C52931"/>
    <w:p w14:paraId="6BCE0805" w14:textId="77777777" w:rsidR="00C52931" w:rsidRDefault="00C52931" w:rsidP="0099117D">
      <w:pPr>
        <w:pStyle w:val="Heading2"/>
      </w:pPr>
      <w:r>
        <w:t>Instructions to receive credit and/or certificates</w:t>
      </w:r>
    </w:p>
    <w:p w14:paraId="5A169549" w14:textId="77777777" w:rsidR="00C52931" w:rsidRDefault="00C52931" w:rsidP="00C52931">
      <w:r>
        <w:t xml:space="preserve">Learners interested in claiming </w:t>
      </w:r>
      <w:r w:rsidRPr="0099117D">
        <w:rPr>
          <w:i/>
          <w:iCs/>
        </w:rPr>
        <w:t>AMA PRA Category 1 Credits™</w:t>
      </w:r>
      <w:r>
        <w:t xml:space="preserve"> or obtain a Certificate of Participation for participating in the course must pay the CME credits and Certificates fee as part of their Annual Meeting Registration.  Payment is collected during the Annual Meeting registration process by adding “CME credits and Certificates” as a session. Attendees who do not register for CME before the conclusion of the meeting will not be able to claim and request credit. Learners registered as guests are not eligible to receive CME credit. </w:t>
      </w:r>
    </w:p>
    <w:p w14:paraId="2F69F9E5" w14:textId="77777777" w:rsidR="00C52931" w:rsidRDefault="00C52931" w:rsidP="00C52931">
      <w:r>
        <w:t xml:space="preserve">Credits and certificates are awarded within our ARVOLearn platform. CME registrants will receive an email with instructions prior to the start of the course or within two business days of your purchase (whichever is later). All requests for credit must be submitted no later than 11:59pm U.S. Eastern Time on Friday, Aug. 30, 2023. </w:t>
      </w:r>
    </w:p>
    <w:p w14:paraId="0FA4A102" w14:textId="77777777" w:rsidR="00C52931" w:rsidRDefault="00C52931" w:rsidP="0099117D">
      <w:pPr>
        <w:pStyle w:val="Heading2"/>
      </w:pPr>
      <w:r>
        <w:lastRenderedPageBreak/>
        <w:t>Certificate of Participation</w:t>
      </w:r>
    </w:p>
    <w:p w14:paraId="39C182E6" w14:textId="77777777" w:rsidR="00C52931" w:rsidRDefault="00C52931" w:rsidP="00C52931">
      <w:r>
        <w:t xml:space="preserve">ARVO is accredited to offer </w:t>
      </w:r>
      <w:r w:rsidRPr="0099117D">
        <w:rPr>
          <w:i/>
          <w:iCs/>
        </w:rPr>
        <w:t>AMA PRA Category 1 Credits™</w:t>
      </w:r>
      <w:r>
        <w:t xml:space="preserve"> to physicians. All other participants in the course may receive a Certificate of Participation that documents the number of CME hours attended* by following the same instructions listed above and paying the CME credits and certificates fee.</w:t>
      </w:r>
    </w:p>
    <w:p w14:paraId="4FC77BBC" w14:textId="77777777" w:rsidR="00C52931" w:rsidRDefault="00C52931" w:rsidP="00C52931">
      <w:r>
        <w:t xml:space="preserve">*Some accrediting agencies may award equivalent Continuing Education (CE) credit when presented with a Certificate of Participation from an activity that offered </w:t>
      </w:r>
      <w:r w:rsidRPr="0099117D">
        <w:rPr>
          <w:i/>
          <w:iCs/>
        </w:rPr>
        <w:t>AMA PRA Category 1 Credit™.</w:t>
      </w:r>
      <w:r>
        <w:t xml:space="preserve"> Check with your accrediting agency for information.</w:t>
      </w:r>
    </w:p>
    <w:p w14:paraId="32E2AE65" w14:textId="77777777" w:rsidR="00C52931" w:rsidRDefault="00C52931" w:rsidP="0099117D">
      <w:pPr>
        <w:pStyle w:val="Heading2"/>
      </w:pPr>
      <w:r>
        <w:t>Certificate of Attendance</w:t>
      </w:r>
    </w:p>
    <w:p w14:paraId="3D491D07" w14:textId="77777777" w:rsidR="00C52931" w:rsidRDefault="00C52931" w:rsidP="00C52931">
      <w:r>
        <w:t xml:space="preserve">Certificates of attendance are available free to all attendees. These certificates state that one has attended the course; but does not offer credit tracking. They will be available for pick-up onsite at the meeting registration desk and ARVO Central in the exhibit hall. </w:t>
      </w:r>
    </w:p>
    <w:p w14:paraId="38EB6232" w14:textId="77777777" w:rsidR="00C52931" w:rsidRDefault="00C52931" w:rsidP="0099117D">
      <w:pPr>
        <w:pStyle w:val="Heading2"/>
      </w:pPr>
      <w:r>
        <w:t>Contact Us</w:t>
      </w:r>
    </w:p>
    <w:p w14:paraId="11069AC4" w14:textId="5975827E" w:rsidR="00C52931" w:rsidRDefault="00C52931" w:rsidP="00C52931">
      <w:r>
        <w:t>ARVO</w:t>
      </w:r>
      <w:r w:rsidR="0099117D">
        <w:br/>
      </w:r>
      <w:r>
        <w:t>5515 Security Lane, Suite 500</w:t>
      </w:r>
      <w:r w:rsidR="0099117D">
        <w:br/>
      </w:r>
      <w:r>
        <w:t>Rockville, Md.  20852, USA</w:t>
      </w:r>
      <w:r w:rsidR="0099117D">
        <w:br/>
      </w:r>
      <w:r>
        <w:t>Email: education@arvo.org, p. +1.240.221.2900</w:t>
      </w:r>
    </w:p>
    <w:p w14:paraId="456C0B33" w14:textId="77777777" w:rsidR="00C52931" w:rsidRDefault="00C52931" w:rsidP="0099117D">
      <w:pPr>
        <w:pStyle w:val="Heading2"/>
      </w:pPr>
      <w:r>
        <w:t>Disclaimer</w:t>
      </w:r>
    </w:p>
    <w:p w14:paraId="5CF684A2" w14:textId="77777777" w:rsidR="00C52931" w:rsidRDefault="00C52931" w:rsidP="00C52931">
      <w:r>
        <w:t>Education Courses provide a forum for the open exchange and discussion of research results and scientific advancements in the field of ophthalmology; however, ARVO makes no representation or warranty as to the truth, originality, or accuracy of the information presented at courses or in materials distributed in connection with them. Nor are the views expressed by the individual speakers necessarily the views of ARVO. ARVO supports the ACCME’s policy on evidence-based content and encourages faculty to adhere to these standards when planning a presentation.</w:t>
      </w:r>
    </w:p>
    <w:p w14:paraId="784B2446" w14:textId="77777777" w:rsidR="00C52931" w:rsidRDefault="00C52931" w:rsidP="00C52931">
      <w:r>
        <w:t>Participants have an implied responsibility to use the newly acquired information to enhance patient outcomes and their own professional development. The information presented in this course is not meant to serve as a guideline for patient management. Any procedures, medications, or other courses of diagnosis or treatment discussed in this activity should not be used by clinicians without evaluation of patient conditions and possible contraindications on dangers in use, review of any applicable manufacturer’s product information, and comparison with recommendations of other authorities.</w:t>
      </w:r>
    </w:p>
    <w:p w14:paraId="75BB8112" w14:textId="77777777" w:rsidR="00C52931" w:rsidRDefault="00C52931" w:rsidP="0099117D">
      <w:pPr>
        <w:pStyle w:val="Heading2"/>
      </w:pPr>
      <w:r>
        <w:t>Disclaimer off-label use</w:t>
      </w:r>
    </w:p>
    <w:p w14:paraId="35538241" w14:textId="77777777" w:rsidR="00C52931" w:rsidRDefault="00C52931" w:rsidP="00C52931">
      <w:r>
        <w:t xml:space="preserve">Education Courses may contain discussion of published and/or investigational uses of agents that are not indicated by the FDA. ARVO does not recommend the use of any agent outside of the labeled indications.  </w:t>
      </w:r>
    </w:p>
    <w:p w14:paraId="5FB8D50C" w14:textId="77777777" w:rsidR="00C52931" w:rsidRDefault="00C52931" w:rsidP="00C52931">
      <w:r>
        <w:t xml:space="preserve">The opinions expressed in the educational activity are those of the faculty and do not necessarily represent the views of any organization associated with this activity. Please refer to the official prescribing information for each product for discussion of approved indications, contraindications and warnings. </w:t>
      </w:r>
    </w:p>
    <w:p w14:paraId="50D21A9B" w14:textId="77777777" w:rsidR="00C52931" w:rsidRDefault="00C52931" w:rsidP="0099117D">
      <w:pPr>
        <w:pStyle w:val="Heading2"/>
      </w:pPr>
      <w:r>
        <w:t>Disclosure of  Relevant Financial Relationships</w:t>
      </w:r>
    </w:p>
    <w:p w14:paraId="27537FB5" w14:textId="77777777" w:rsidR="00C52931" w:rsidRDefault="00C52931" w:rsidP="00C52931">
      <w:r>
        <w:t xml:space="preserve">ARVO requires instructors, planners, managers and other individuals who are in a position to control the content of this activity to disclose all financial relationships with any ineligible company within the last 24 months. All identified relevant financial relationships are thoroughly vetted by ARVO for fair balance, scientific objectivity of </w:t>
      </w:r>
      <w:r>
        <w:lastRenderedPageBreak/>
        <w:t>studies mentioned in the materials or used as the basis for content, and appropriateness of patient care recommendations. All relevant financial relationships have been mitigated by ARVO.</w:t>
      </w:r>
    </w:p>
    <w:p w14:paraId="4956FC99" w14:textId="77777777" w:rsidR="00C52931" w:rsidRDefault="00C52931" w:rsidP="00C52931">
      <w:r>
        <w:t xml:space="preserve">ARVO considers presenting authors, not co-authors, to be in control of the educational content. It is ARVO’s policy and traditional scientific publishing practice to acknowledge all people contributing to the research, regardless of CME control of the live presentation of that content. ARVO may collect and publish disclosures from co-authors although they do not have control of the CME content. </w:t>
      </w:r>
    </w:p>
    <w:p w14:paraId="194B98E8" w14:textId="1B03E3F3" w:rsidR="00C52931" w:rsidRPr="0099117D" w:rsidRDefault="00C52931" w:rsidP="00C52931">
      <w:pPr>
        <w:rPr>
          <w:b/>
          <w:bCs/>
        </w:rPr>
      </w:pPr>
      <w:r w:rsidRPr="0099117D">
        <w:rPr>
          <w:b/>
          <w:bCs/>
        </w:rPr>
        <w:t xml:space="preserve">Disclosures for all individuals involved in planning and managing this accredited CE activity are listed here with their relevant disclosure information. Disclosure information for presenters and course moderators will be provided within a disclosure slide(s), prior to the start of the course and their respective presentations.  </w:t>
      </w:r>
    </w:p>
    <w:p w14:paraId="00BF74AD" w14:textId="25953DFC" w:rsidR="00C52931" w:rsidRPr="003D5A8E" w:rsidRDefault="00C52931" w:rsidP="00C52931">
      <w:pPr>
        <w:rPr>
          <w:i/>
          <w:iCs/>
        </w:rPr>
      </w:pPr>
      <w:r w:rsidRPr="0099117D">
        <w:rPr>
          <w:i/>
          <w:iCs/>
        </w:rPr>
        <w:t>The following individuals on the Professional Development and Education Committee (PDEC) reported no relevant financial relationships.</w:t>
      </w:r>
      <w:r w:rsidR="003D5A8E">
        <w:rPr>
          <w:i/>
          <w:iCs/>
        </w:rPr>
        <w:br/>
      </w:r>
      <w:r>
        <w:t xml:space="preserve">Alison Abraham, PhD; Maria Fernanda Abalem, MD, MSc; Radwan Ajlan, MBBCh, FRCSC; Lin Cheng, MD, PhD; Ngozi Chidi-Egboka, OD, MPH, FNCO, FAAO; Helene Filipe, MD; Renu Kowluru, PhD, FARVO; Emily Patterson, PhD; Daisy Shu, PhD; Menglu Yang, MD, PhD </w:t>
      </w:r>
    </w:p>
    <w:p w14:paraId="30C2FFB6" w14:textId="05B7F1EA" w:rsidR="00C52931" w:rsidRPr="003D5A8E" w:rsidRDefault="00C52931" w:rsidP="00C52931">
      <w:pPr>
        <w:rPr>
          <w:i/>
          <w:iCs/>
        </w:rPr>
      </w:pPr>
      <w:r w:rsidRPr="003D5A8E">
        <w:rPr>
          <w:i/>
          <w:iCs/>
        </w:rPr>
        <w:t xml:space="preserve">The  following individuals on the Continuing Medical Education Committee (CME) reported no relevant financial relationships. </w:t>
      </w:r>
      <w:r w:rsidR="003D5A8E">
        <w:rPr>
          <w:i/>
          <w:iCs/>
        </w:rPr>
        <w:br/>
      </w:r>
      <w:r>
        <w:t>Parisa Emami, MD, MPH; Shilpa Kodati, MBBS; Wendy Liu, MD, PhD; Yannis Paulus, MD; Sangly Srinivas, PhD; Mary Whitman, MD, PhD</w:t>
      </w:r>
    </w:p>
    <w:p w14:paraId="6D43481B" w14:textId="47562156" w:rsidR="00C52931" w:rsidRPr="003D5A8E" w:rsidRDefault="00C52931" w:rsidP="00C52931">
      <w:pPr>
        <w:rPr>
          <w:i/>
          <w:iCs/>
        </w:rPr>
      </w:pPr>
      <w:r w:rsidRPr="003D5A8E">
        <w:rPr>
          <w:i/>
          <w:iCs/>
        </w:rPr>
        <w:t xml:space="preserve">The following </w:t>
      </w:r>
      <w:r w:rsidR="00BE0EFA">
        <w:rPr>
          <w:i/>
          <w:iCs/>
        </w:rPr>
        <w:t xml:space="preserve">course organizers and </w:t>
      </w:r>
      <w:r w:rsidRPr="003D5A8E">
        <w:rPr>
          <w:i/>
          <w:iCs/>
        </w:rPr>
        <w:t>activity managers reported no relevant financial relationships.</w:t>
      </w:r>
      <w:r w:rsidR="003D5A8E">
        <w:rPr>
          <w:i/>
          <w:iCs/>
        </w:rPr>
        <w:br/>
      </w:r>
      <w:r w:rsidR="00BE0EFA" w:rsidRPr="00BE0EFA">
        <w:t>Anne Lynch MB, BCH, BAO, MSPH</w:t>
      </w:r>
      <w:r w:rsidR="00BE0EFA">
        <w:t xml:space="preserve"> (course organizer), </w:t>
      </w:r>
      <w:r>
        <w:t>Cathy Conley</w:t>
      </w:r>
      <w:r w:rsidR="00BE0EFA">
        <w:t>, (activity manager)</w:t>
      </w:r>
    </w:p>
    <w:p w14:paraId="232249F2" w14:textId="31D3A3EF" w:rsidR="00C52931" w:rsidRPr="003D5A8E" w:rsidRDefault="00C52931" w:rsidP="00C52931">
      <w:pPr>
        <w:rPr>
          <w:i/>
          <w:iCs/>
        </w:rPr>
      </w:pPr>
      <w:r w:rsidRPr="003D5A8E">
        <w:rPr>
          <w:i/>
          <w:iCs/>
        </w:rPr>
        <w:t>The following clinical content reviewers reported no relevant financial relationships.</w:t>
      </w:r>
      <w:r w:rsidR="003D5A8E">
        <w:rPr>
          <w:i/>
          <w:iCs/>
        </w:rPr>
        <w:br/>
      </w:r>
      <w:r>
        <w:t>Lindsay Scott, PT, DPT, ATC</w:t>
      </w:r>
    </w:p>
    <w:p w14:paraId="62993DE8" w14:textId="2139CDA5" w:rsidR="00C52931" w:rsidRPr="003D5A8E" w:rsidRDefault="00C52931" w:rsidP="00C52931">
      <w:pPr>
        <w:rPr>
          <w:i/>
          <w:iCs/>
        </w:rPr>
      </w:pPr>
      <w:r w:rsidRPr="003D5A8E">
        <w:rPr>
          <w:i/>
          <w:iCs/>
        </w:rPr>
        <w:t>The following activity planners and managers reported relevant financial relationships.</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1350"/>
        <w:gridCol w:w="5845"/>
      </w:tblGrid>
      <w:tr w:rsidR="00C52931" w:rsidRPr="00C52931" w14:paraId="4A1CD894" w14:textId="77777777" w:rsidTr="005F0966">
        <w:trPr>
          <w:trHeight w:val="299"/>
        </w:trPr>
        <w:tc>
          <w:tcPr>
            <w:tcW w:w="2875" w:type="dxa"/>
            <w:shd w:val="clear" w:color="auto" w:fill="auto"/>
            <w:noWrap/>
            <w:hideMark/>
          </w:tcPr>
          <w:p w14:paraId="727EAABB" w14:textId="77777777" w:rsidR="00C52931" w:rsidRPr="00C52931" w:rsidRDefault="00C52931" w:rsidP="00C52931">
            <w:pPr>
              <w:rPr>
                <w:b/>
                <w:bCs/>
              </w:rPr>
            </w:pPr>
            <w:r w:rsidRPr="00C52931">
              <w:rPr>
                <w:b/>
                <w:bCs/>
              </w:rPr>
              <w:t>Full name</w:t>
            </w:r>
          </w:p>
        </w:tc>
        <w:tc>
          <w:tcPr>
            <w:tcW w:w="1350" w:type="dxa"/>
            <w:shd w:val="clear" w:color="auto" w:fill="auto"/>
            <w:noWrap/>
            <w:hideMark/>
          </w:tcPr>
          <w:p w14:paraId="0068C046" w14:textId="77777777" w:rsidR="00C52931" w:rsidRPr="00C52931" w:rsidRDefault="00C52931" w:rsidP="00C52931">
            <w:pPr>
              <w:rPr>
                <w:b/>
                <w:bCs/>
              </w:rPr>
            </w:pPr>
            <w:r w:rsidRPr="00C52931">
              <w:rPr>
                <w:b/>
                <w:bCs/>
              </w:rPr>
              <w:t>Role</w:t>
            </w:r>
          </w:p>
        </w:tc>
        <w:tc>
          <w:tcPr>
            <w:tcW w:w="5845" w:type="dxa"/>
            <w:shd w:val="clear" w:color="auto" w:fill="auto"/>
            <w:noWrap/>
            <w:hideMark/>
          </w:tcPr>
          <w:p w14:paraId="4DA4E61E" w14:textId="77777777" w:rsidR="00C52931" w:rsidRPr="00C52931" w:rsidRDefault="00C52931" w:rsidP="00C52931">
            <w:pPr>
              <w:rPr>
                <w:b/>
                <w:bCs/>
              </w:rPr>
            </w:pPr>
            <w:r w:rsidRPr="00C52931">
              <w:rPr>
                <w:b/>
                <w:bCs/>
              </w:rPr>
              <w:t xml:space="preserve">Disclosure </w:t>
            </w:r>
          </w:p>
        </w:tc>
      </w:tr>
      <w:tr w:rsidR="00BE0EFA" w:rsidRPr="00C52931" w14:paraId="0D1E95D8" w14:textId="77777777" w:rsidTr="005F0966">
        <w:trPr>
          <w:trHeight w:val="299"/>
        </w:trPr>
        <w:tc>
          <w:tcPr>
            <w:tcW w:w="2875" w:type="dxa"/>
            <w:shd w:val="clear" w:color="auto" w:fill="auto"/>
            <w:noWrap/>
          </w:tcPr>
          <w:p w14:paraId="07874881" w14:textId="1DEFEAB2" w:rsidR="00BE0EFA" w:rsidRPr="00BE0EFA" w:rsidRDefault="00BE0EFA" w:rsidP="00C52931">
            <w:r w:rsidRPr="00BE0EFA">
              <w:t>Jennifer Patnaik, PhD</w:t>
            </w:r>
          </w:p>
        </w:tc>
        <w:tc>
          <w:tcPr>
            <w:tcW w:w="1350" w:type="dxa"/>
            <w:shd w:val="clear" w:color="auto" w:fill="auto"/>
            <w:noWrap/>
          </w:tcPr>
          <w:p w14:paraId="6BF5361B" w14:textId="4180685F" w:rsidR="00BE0EFA" w:rsidRPr="00BE0EFA" w:rsidRDefault="00BE0EFA" w:rsidP="00C52931">
            <w:r w:rsidRPr="00BE0EFA">
              <w:t>Course Organizer</w:t>
            </w:r>
          </w:p>
        </w:tc>
        <w:tc>
          <w:tcPr>
            <w:tcW w:w="5845" w:type="dxa"/>
            <w:shd w:val="clear" w:color="auto" w:fill="auto"/>
            <w:noWrap/>
          </w:tcPr>
          <w:p w14:paraId="3929A152" w14:textId="20BA2D79" w:rsidR="00BE0EFA" w:rsidRPr="003635A3" w:rsidRDefault="003635A3" w:rsidP="003635A3">
            <w:r w:rsidRPr="003635A3">
              <w:t>GoCheck Kids: (C)</w:t>
            </w:r>
          </w:p>
        </w:tc>
      </w:tr>
      <w:tr w:rsidR="00C52931" w:rsidRPr="00C52931" w14:paraId="455FE031" w14:textId="77777777" w:rsidTr="005F0966">
        <w:trPr>
          <w:trHeight w:val="299"/>
        </w:trPr>
        <w:tc>
          <w:tcPr>
            <w:tcW w:w="2875" w:type="dxa"/>
            <w:shd w:val="clear" w:color="auto" w:fill="auto"/>
            <w:noWrap/>
            <w:hideMark/>
          </w:tcPr>
          <w:p w14:paraId="4FAD7929" w14:textId="77777777" w:rsidR="00C52931" w:rsidRPr="00C52931" w:rsidRDefault="00C52931" w:rsidP="00C52931">
            <w:r w:rsidRPr="00C52931">
              <w:t>Priya Chaudhary, PhD</w:t>
            </w:r>
          </w:p>
        </w:tc>
        <w:tc>
          <w:tcPr>
            <w:tcW w:w="1350" w:type="dxa"/>
            <w:shd w:val="clear" w:color="auto" w:fill="auto"/>
            <w:noWrap/>
            <w:hideMark/>
          </w:tcPr>
          <w:p w14:paraId="4D0DFA1A" w14:textId="77777777" w:rsidR="00C52931" w:rsidRPr="00C52931" w:rsidRDefault="00C52931" w:rsidP="00C52931">
            <w:r w:rsidRPr="00C52931">
              <w:t>PDEC</w:t>
            </w:r>
          </w:p>
        </w:tc>
        <w:tc>
          <w:tcPr>
            <w:tcW w:w="5845" w:type="dxa"/>
            <w:shd w:val="clear" w:color="auto" w:fill="auto"/>
            <w:noWrap/>
            <w:hideMark/>
          </w:tcPr>
          <w:p w14:paraId="2C4099FA" w14:textId="77777777" w:rsidR="00C52931" w:rsidRPr="00C52931" w:rsidRDefault="00C52931" w:rsidP="00C52931">
            <w:r w:rsidRPr="00C52931">
              <w:t>Alcon Research Institue (F)</w:t>
            </w:r>
          </w:p>
        </w:tc>
      </w:tr>
      <w:tr w:rsidR="00C52931" w:rsidRPr="00C52931" w14:paraId="56C862BC" w14:textId="77777777" w:rsidTr="005F0966">
        <w:trPr>
          <w:trHeight w:val="299"/>
        </w:trPr>
        <w:tc>
          <w:tcPr>
            <w:tcW w:w="2875" w:type="dxa"/>
            <w:shd w:val="clear" w:color="auto" w:fill="auto"/>
            <w:noWrap/>
            <w:hideMark/>
          </w:tcPr>
          <w:p w14:paraId="0A287F83" w14:textId="77777777" w:rsidR="00C52931" w:rsidRPr="00C52931" w:rsidRDefault="00C52931" w:rsidP="00C52931">
            <w:r w:rsidRPr="00C52931">
              <w:t>Azza El-Remessy,  PhD, PharmD, BC-ADM</w:t>
            </w:r>
          </w:p>
        </w:tc>
        <w:tc>
          <w:tcPr>
            <w:tcW w:w="1350" w:type="dxa"/>
            <w:shd w:val="clear" w:color="auto" w:fill="auto"/>
            <w:noWrap/>
            <w:hideMark/>
          </w:tcPr>
          <w:p w14:paraId="4EB0718C" w14:textId="77777777" w:rsidR="00C52931" w:rsidRPr="00C52931" w:rsidRDefault="00C52931" w:rsidP="00C52931">
            <w:r w:rsidRPr="00C52931">
              <w:t>PDEC</w:t>
            </w:r>
          </w:p>
        </w:tc>
        <w:tc>
          <w:tcPr>
            <w:tcW w:w="5845" w:type="dxa"/>
            <w:shd w:val="clear" w:color="auto" w:fill="auto"/>
            <w:noWrap/>
            <w:hideMark/>
          </w:tcPr>
          <w:p w14:paraId="6200E119" w14:textId="77777777" w:rsidR="00C52931" w:rsidRPr="00C52931" w:rsidRDefault="00C52931" w:rsidP="00C52931">
            <w:r w:rsidRPr="00C52931">
              <w:t>Nour Therapeutics, LLC: (O)</w:t>
            </w:r>
          </w:p>
        </w:tc>
      </w:tr>
      <w:tr w:rsidR="00C52931" w:rsidRPr="00C52931" w14:paraId="55644478" w14:textId="77777777" w:rsidTr="005F0966">
        <w:trPr>
          <w:trHeight w:val="299"/>
        </w:trPr>
        <w:tc>
          <w:tcPr>
            <w:tcW w:w="2875" w:type="dxa"/>
            <w:shd w:val="clear" w:color="auto" w:fill="auto"/>
            <w:noWrap/>
            <w:hideMark/>
          </w:tcPr>
          <w:p w14:paraId="60809A4A" w14:textId="77777777" w:rsidR="00C52931" w:rsidRPr="00C52931" w:rsidRDefault="00C52931" w:rsidP="00C52931">
            <w:r w:rsidRPr="00C52931">
              <w:t>William Foster, MD, PhD, FRCSC</w:t>
            </w:r>
          </w:p>
        </w:tc>
        <w:tc>
          <w:tcPr>
            <w:tcW w:w="1350" w:type="dxa"/>
            <w:shd w:val="clear" w:color="auto" w:fill="auto"/>
            <w:noWrap/>
            <w:hideMark/>
          </w:tcPr>
          <w:p w14:paraId="40ABFA79" w14:textId="77777777" w:rsidR="00C52931" w:rsidRPr="00C52931" w:rsidRDefault="00C52931" w:rsidP="00C52931">
            <w:r w:rsidRPr="00C52931">
              <w:t>PDEC</w:t>
            </w:r>
          </w:p>
        </w:tc>
        <w:tc>
          <w:tcPr>
            <w:tcW w:w="5845" w:type="dxa"/>
            <w:shd w:val="clear" w:color="auto" w:fill="auto"/>
            <w:noWrap/>
            <w:hideMark/>
          </w:tcPr>
          <w:p w14:paraId="20B4DBE3" w14:textId="77777777" w:rsidR="00C52931" w:rsidRPr="00C52931" w:rsidRDefault="00C52931" w:rsidP="00C52931">
            <w:r w:rsidRPr="00C52931">
              <w:t>Altasciences (C); Lynthera (C);   US Patent 9,050,171-Small diameter fragmatome for minimally traumatic retained lens fragments removal (P)</w:t>
            </w:r>
          </w:p>
        </w:tc>
      </w:tr>
      <w:tr w:rsidR="00C52931" w:rsidRPr="00C52931" w14:paraId="43A18447" w14:textId="77777777" w:rsidTr="005F0966">
        <w:trPr>
          <w:trHeight w:val="299"/>
        </w:trPr>
        <w:tc>
          <w:tcPr>
            <w:tcW w:w="2875" w:type="dxa"/>
            <w:shd w:val="clear" w:color="auto" w:fill="auto"/>
            <w:noWrap/>
            <w:hideMark/>
          </w:tcPr>
          <w:p w14:paraId="02A3817F" w14:textId="77777777" w:rsidR="00C52931" w:rsidRPr="00C52931" w:rsidRDefault="00C52931" w:rsidP="00C52931">
            <w:r w:rsidRPr="00C52931">
              <w:t>Edmund Tsui, MD</w:t>
            </w:r>
          </w:p>
        </w:tc>
        <w:tc>
          <w:tcPr>
            <w:tcW w:w="1350" w:type="dxa"/>
            <w:shd w:val="clear" w:color="auto" w:fill="auto"/>
            <w:noWrap/>
            <w:hideMark/>
          </w:tcPr>
          <w:p w14:paraId="55AB86B4" w14:textId="77777777" w:rsidR="00C52931" w:rsidRPr="00C52931" w:rsidRDefault="00C52931" w:rsidP="00C52931">
            <w:r w:rsidRPr="00C52931">
              <w:t>PDEC</w:t>
            </w:r>
          </w:p>
        </w:tc>
        <w:tc>
          <w:tcPr>
            <w:tcW w:w="5845" w:type="dxa"/>
            <w:shd w:val="clear" w:color="auto" w:fill="auto"/>
            <w:noWrap/>
            <w:hideMark/>
          </w:tcPr>
          <w:p w14:paraId="305B8F9F" w14:textId="77777777" w:rsidR="00C52931" w:rsidRPr="00C52931" w:rsidRDefault="00C52931" w:rsidP="00C52931">
            <w:r w:rsidRPr="00C52931">
              <w:t>Kowa Company Ltd (C, F); Cylite Pty Ltd (F); EyePoint Pharmaceuticals (C)</w:t>
            </w:r>
          </w:p>
        </w:tc>
      </w:tr>
      <w:tr w:rsidR="00C52931" w:rsidRPr="00C52931" w14:paraId="65A860F1" w14:textId="77777777" w:rsidTr="005F0966">
        <w:trPr>
          <w:trHeight w:val="299"/>
        </w:trPr>
        <w:tc>
          <w:tcPr>
            <w:tcW w:w="2875" w:type="dxa"/>
            <w:shd w:val="clear" w:color="auto" w:fill="auto"/>
            <w:noWrap/>
            <w:hideMark/>
          </w:tcPr>
          <w:p w14:paraId="265C7681" w14:textId="77777777" w:rsidR="00C52931" w:rsidRPr="00C52931" w:rsidRDefault="00C52931" w:rsidP="00C52931">
            <w:r w:rsidRPr="00C52931">
              <w:t>Thomas Ach, MD, FEBO</w:t>
            </w:r>
          </w:p>
        </w:tc>
        <w:tc>
          <w:tcPr>
            <w:tcW w:w="1350" w:type="dxa"/>
            <w:shd w:val="clear" w:color="auto" w:fill="auto"/>
            <w:noWrap/>
            <w:hideMark/>
          </w:tcPr>
          <w:p w14:paraId="443AFD1E" w14:textId="77777777" w:rsidR="00C52931" w:rsidRPr="00C52931" w:rsidRDefault="00C52931" w:rsidP="00C52931">
            <w:r w:rsidRPr="00C52931">
              <w:t>CME</w:t>
            </w:r>
          </w:p>
        </w:tc>
        <w:tc>
          <w:tcPr>
            <w:tcW w:w="5845" w:type="dxa"/>
            <w:shd w:val="clear" w:color="auto" w:fill="auto"/>
            <w:noWrap/>
            <w:hideMark/>
          </w:tcPr>
          <w:p w14:paraId="260D41F7" w14:textId="77777777" w:rsidR="00C52931" w:rsidRPr="00C52931" w:rsidRDefault="00C52931" w:rsidP="00C52931">
            <w:r w:rsidRPr="00C52931">
              <w:t>Apellis Pharmaceutical: (R); Roche: (R); Novartis: (R, F); Bayer: (R); Heidelberg Engineering: (R); MacRegen Inc.: (I)</w:t>
            </w:r>
          </w:p>
        </w:tc>
      </w:tr>
      <w:tr w:rsidR="00C52931" w:rsidRPr="00C52931" w14:paraId="589165B2" w14:textId="77777777" w:rsidTr="005F0966">
        <w:trPr>
          <w:trHeight w:val="299"/>
        </w:trPr>
        <w:tc>
          <w:tcPr>
            <w:tcW w:w="2875" w:type="dxa"/>
            <w:shd w:val="clear" w:color="auto" w:fill="auto"/>
            <w:noWrap/>
            <w:hideMark/>
          </w:tcPr>
          <w:p w14:paraId="079BF0F2" w14:textId="77777777" w:rsidR="00C52931" w:rsidRPr="00C52931" w:rsidRDefault="00C52931" w:rsidP="00C52931">
            <w:r w:rsidRPr="00C52931">
              <w:lastRenderedPageBreak/>
              <w:t>Ron Adelman, MD, MPH, MBA</w:t>
            </w:r>
          </w:p>
        </w:tc>
        <w:tc>
          <w:tcPr>
            <w:tcW w:w="1350" w:type="dxa"/>
            <w:shd w:val="clear" w:color="auto" w:fill="auto"/>
            <w:noWrap/>
            <w:hideMark/>
          </w:tcPr>
          <w:p w14:paraId="04771CE7" w14:textId="77777777" w:rsidR="00C52931" w:rsidRPr="00C52931" w:rsidRDefault="00C52931" w:rsidP="00C52931">
            <w:r w:rsidRPr="00C52931">
              <w:t>CME</w:t>
            </w:r>
          </w:p>
        </w:tc>
        <w:tc>
          <w:tcPr>
            <w:tcW w:w="5845" w:type="dxa"/>
            <w:shd w:val="clear" w:color="auto" w:fill="auto"/>
            <w:noWrap/>
            <w:hideMark/>
          </w:tcPr>
          <w:p w14:paraId="689C8B1A" w14:textId="77777777" w:rsidR="00C52931" w:rsidRPr="00C52931" w:rsidRDefault="00C52931" w:rsidP="00C52931">
            <w:r w:rsidRPr="00C52931">
              <w:t>Tesseract: (C); Johnson &amp; Johnson/Jenssen: (C)</w:t>
            </w:r>
          </w:p>
        </w:tc>
      </w:tr>
      <w:tr w:rsidR="00C52931" w:rsidRPr="00C52931" w14:paraId="43120B63" w14:textId="77777777" w:rsidTr="005F0966">
        <w:trPr>
          <w:trHeight w:val="299"/>
        </w:trPr>
        <w:tc>
          <w:tcPr>
            <w:tcW w:w="2875" w:type="dxa"/>
            <w:shd w:val="clear" w:color="auto" w:fill="auto"/>
            <w:noWrap/>
            <w:hideMark/>
          </w:tcPr>
          <w:p w14:paraId="5CF7442A" w14:textId="77777777" w:rsidR="00C52931" w:rsidRPr="00C52931" w:rsidRDefault="00C52931" w:rsidP="00C52931">
            <w:r w:rsidRPr="00C52931">
              <w:t>Natasha Kolomeyer, MD</w:t>
            </w:r>
          </w:p>
        </w:tc>
        <w:tc>
          <w:tcPr>
            <w:tcW w:w="1350" w:type="dxa"/>
            <w:shd w:val="clear" w:color="auto" w:fill="auto"/>
            <w:noWrap/>
            <w:hideMark/>
          </w:tcPr>
          <w:p w14:paraId="14FEEBAF" w14:textId="77777777" w:rsidR="00C52931" w:rsidRPr="00C52931" w:rsidRDefault="00C52931" w:rsidP="00C52931">
            <w:r w:rsidRPr="00C52931">
              <w:t>CME</w:t>
            </w:r>
          </w:p>
        </w:tc>
        <w:tc>
          <w:tcPr>
            <w:tcW w:w="5845" w:type="dxa"/>
            <w:shd w:val="clear" w:color="auto" w:fill="auto"/>
            <w:noWrap/>
            <w:hideMark/>
          </w:tcPr>
          <w:p w14:paraId="12A445AF" w14:textId="77777777" w:rsidR="00C52931" w:rsidRPr="00C52931" w:rsidRDefault="00C52931" w:rsidP="00C52931">
            <w:r w:rsidRPr="00C52931">
              <w:t>AbbVie/Allergan: (F, C); Guardion Health Services Inc.: (F); Equinox: (F); Nicox: (F); Olleyes: (F); Santen: (F); Glaukos: (F); Diopsys: (F); Aerie: (F);</w:t>
            </w:r>
          </w:p>
        </w:tc>
      </w:tr>
      <w:tr w:rsidR="00C52931" w:rsidRPr="00C52931" w14:paraId="3B31B1FE" w14:textId="77777777" w:rsidTr="005F0966">
        <w:trPr>
          <w:trHeight w:val="299"/>
        </w:trPr>
        <w:tc>
          <w:tcPr>
            <w:tcW w:w="2875" w:type="dxa"/>
            <w:shd w:val="clear" w:color="auto" w:fill="auto"/>
            <w:noWrap/>
            <w:hideMark/>
          </w:tcPr>
          <w:p w14:paraId="264BB360" w14:textId="77777777" w:rsidR="00C52931" w:rsidRPr="00C52931" w:rsidRDefault="00C52931" w:rsidP="00C52931">
            <w:r w:rsidRPr="00C52931">
              <w:t>Louis Pasquale, MD</w:t>
            </w:r>
          </w:p>
        </w:tc>
        <w:tc>
          <w:tcPr>
            <w:tcW w:w="1350" w:type="dxa"/>
            <w:shd w:val="clear" w:color="auto" w:fill="auto"/>
            <w:noWrap/>
            <w:hideMark/>
          </w:tcPr>
          <w:p w14:paraId="412D3E9F" w14:textId="77777777" w:rsidR="00C52931" w:rsidRPr="00C52931" w:rsidRDefault="00C52931" w:rsidP="00C52931">
            <w:r w:rsidRPr="00C52931">
              <w:t>CME</w:t>
            </w:r>
          </w:p>
        </w:tc>
        <w:tc>
          <w:tcPr>
            <w:tcW w:w="5845" w:type="dxa"/>
            <w:shd w:val="clear" w:color="auto" w:fill="auto"/>
            <w:noWrap/>
            <w:hideMark/>
          </w:tcPr>
          <w:p w14:paraId="7FC81DF1" w14:textId="77777777" w:rsidR="00C52931" w:rsidRPr="00C52931" w:rsidRDefault="00C52931" w:rsidP="00C52931">
            <w:r w:rsidRPr="00C52931">
              <w:t>Eyenovia: (C); Twenty Twenty: (C); Skye Biosciences: (C)</w:t>
            </w:r>
          </w:p>
        </w:tc>
      </w:tr>
      <w:tr w:rsidR="00C52931" w:rsidRPr="00C52931" w14:paraId="241F9AD2" w14:textId="77777777" w:rsidTr="005F0966">
        <w:trPr>
          <w:trHeight w:val="299"/>
        </w:trPr>
        <w:tc>
          <w:tcPr>
            <w:tcW w:w="2875" w:type="dxa"/>
            <w:shd w:val="clear" w:color="auto" w:fill="auto"/>
            <w:noWrap/>
          </w:tcPr>
          <w:p w14:paraId="7C863875" w14:textId="77777777" w:rsidR="00C52931" w:rsidRPr="00C52931" w:rsidRDefault="00C52931" w:rsidP="00C52931">
            <w:r w:rsidRPr="00C52931">
              <w:t>Laura Lanford</w:t>
            </w:r>
          </w:p>
        </w:tc>
        <w:tc>
          <w:tcPr>
            <w:tcW w:w="1350" w:type="dxa"/>
            <w:shd w:val="clear" w:color="auto" w:fill="auto"/>
            <w:noWrap/>
          </w:tcPr>
          <w:p w14:paraId="4430E2E1" w14:textId="77777777" w:rsidR="00C52931" w:rsidRPr="00C52931" w:rsidRDefault="00C52931" w:rsidP="00C52931">
            <w:r w:rsidRPr="00C52931">
              <w:t>Staff</w:t>
            </w:r>
          </w:p>
        </w:tc>
        <w:tc>
          <w:tcPr>
            <w:tcW w:w="5845" w:type="dxa"/>
            <w:shd w:val="clear" w:color="auto" w:fill="auto"/>
            <w:noWrap/>
          </w:tcPr>
          <w:p w14:paraId="227CADAD" w14:textId="77777777" w:rsidR="00C52931" w:rsidRPr="00C52931" w:rsidRDefault="00C52931" w:rsidP="00C52931">
            <w:r w:rsidRPr="00C52931">
              <w:t>Johnson and Johnson: (I); Pfizer: (I)</w:t>
            </w:r>
          </w:p>
        </w:tc>
      </w:tr>
    </w:tbl>
    <w:p w14:paraId="4192EBF6" w14:textId="2371FB83" w:rsidR="00C52931" w:rsidRDefault="00C52931" w:rsidP="00C52931"/>
    <w:p w14:paraId="00CF94CE" w14:textId="77777777" w:rsidR="00C52931" w:rsidRPr="003D5A8E" w:rsidRDefault="00C52931" w:rsidP="00C52931">
      <w:pPr>
        <w:rPr>
          <w:i/>
          <w:iCs/>
        </w:rPr>
      </w:pPr>
      <w:r w:rsidRPr="003D5A8E">
        <w:rPr>
          <w:i/>
          <w:iCs/>
        </w:rPr>
        <w:t>Financial relationship disclosure code definitions</w:t>
      </w:r>
    </w:p>
    <w:p w14:paraId="368C41A2" w14:textId="77777777" w:rsidR="00C52931" w:rsidRDefault="00C52931" w:rsidP="00C52931">
      <w:r w:rsidRPr="003D5A8E">
        <w:rPr>
          <w:b/>
          <w:bCs/>
        </w:rPr>
        <w:t>C (Consultant/Contractor)</w:t>
      </w:r>
      <w:r>
        <w:t xml:space="preserve"> Indicates you are a consultant or independent contractor (including contracted research) for an ACCME-defined ineligible company.</w:t>
      </w:r>
    </w:p>
    <w:p w14:paraId="3DBEB06E" w14:textId="77777777" w:rsidR="00C52931" w:rsidRDefault="00C52931" w:rsidP="00C52931">
      <w:r w:rsidRPr="003D5A8E">
        <w:rPr>
          <w:b/>
          <w:bCs/>
        </w:rPr>
        <w:t>E (Employment)</w:t>
      </w:r>
      <w:r>
        <w:t xml:space="preserve"> Indicates you are an employee of an ACCME-defined ineligible company.</w:t>
      </w:r>
    </w:p>
    <w:p w14:paraId="57834354" w14:textId="77777777" w:rsidR="00C52931" w:rsidRDefault="00C52931" w:rsidP="00C52931">
      <w:r w:rsidRPr="003D5A8E">
        <w:rPr>
          <w:b/>
          <w:bCs/>
        </w:rPr>
        <w:t xml:space="preserve">F (Financial Support) </w:t>
      </w:r>
      <w:r>
        <w:t>Indicates financial support received from an ACCME-defined ineligible company, in the form of research funding (even if the institution receives the research grant and manages the funds), grants, research materials or in-kind services (e.g., sample analysis).</w:t>
      </w:r>
    </w:p>
    <w:p w14:paraId="61BABF69" w14:textId="77777777" w:rsidR="00C52931" w:rsidRDefault="00C52931" w:rsidP="00C52931">
      <w:r w:rsidRPr="003D5A8E">
        <w:rPr>
          <w:b/>
          <w:bCs/>
        </w:rPr>
        <w:t>I (Personal Financial Interest)</w:t>
      </w:r>
      <w:r>
        <w:t xml:space="preserve"> Indicates you are an investor in a company or competing company, including an ACCME-defined ineligible company, other than through a mutual or retirement fund.</w:t>
      </w:r>
    </w:p>
    <w:p w14:paraId="544E0D70" w14:textId="77777777" w:rsidR="00C52931" w:rsidRDefault="00C52931" w:rsidP="00C52931">
      <w:r w:rsidRPr="003D5A8E">
        <w:rPr>
          <w:b/>
          <w:bCs/>
        </w:rPr>
        <w:t>N (No Financial Relationship)</w:t>
      </w:r>
      <w:r>
        <w:t xml:space="preserve"> Indicates there is no financial relationship to disclose.</w:t>
      </w:r>
    </w:p>
    <w:p w14:paraId="516669E9" w14:textId="77777777" w:rsidR="00C52931" w:rsidRDefault="00C52931" w:rsidP="00C52931">
      <w:r w:rsidRPr="003D5A8E">
        <w:rPr>
          <w:b/>
          <w:bCs/>
        </w:rPr>
        <w:t>O (Owner/Co-Owner/Founder/Co-Founder)</w:t>
      </w:r>
      <w:r>
        <w:t xml:space="preserve"> Indicates you are an owner, co-owner, founder and/or co-founder of an ACCME-defined ineligible company.</w:t>
      </w:r>
    </w:p>
    <w:p w14:paraId="60FA02E2" w14:textId="77777777" w:rsidR="00C52931" w:rsidRDefault="00C52931" w:rsidP="00C52931">
      <w:r w:rsidRPr="003D5A8E">
        <w:rPr>
          <w:b/>
          <w:bCs/>
        </w:rPr>
        <w:t>P (Patent)</w:t>
      </w:r>
      <w:r>
        <w:t xml:space="preserve"> Indicates you are an inventor/developer designated on a patent, patent application, copyright, or trade secret, whether the patent, copyright, etc. is presently licensed or otherwise commercialized, or could be in competition with the technology described.</w:t>
      </w:r>
    </w:p>
    <w:p w14:paraId="66CA8D34" w14:textId="5226B766" w:rsidR="00C52931" w:rsidRDefault="00C52931" w:rsidP="00C52931">
      <w:r w:rsidRPr="003D5A8E">
        <w:rPr>
          <w:b/>
          <w:bCs/>
        </w:rPr>
        <w:t>R (Recipient)</w:t>
      </w:r>
      <w:r>
        <w:t xml:space="preserve"> Indicates you have received gifts, honoraria, travel reimbursement, patent royalties, or any other financial compensation in any amount from an ACCME-defined ineligible company.</w:t>
      </w:r>
    </w:p>
    <w:p w14:paraId="3256B340" w14:textId="6AC61DD3" w:rsidR="00C52931" w:rsidRDefault="00C52931" w:rsidP="00C52931">
      <w:r w:rsidRPr="003D5A8E">
        <w:rPr>
          <w:b/>
          <w:bCs/>
        </w:rPr>
        <w:t>S (non-remunerative)</w:t>
      </w:r>
      <w:r w:rsidRPr="00C52931">
        <w:t xml:space="preserve"> Indicates you have position(s) of influence such as officer, board member, trustee, spokesperson, etc.</w:t>
      </w:r>
    </w:p>
    <w:sectPr w:rsidR="00C52931" w:rsidSect="00C52931">
      <w:headerReference w:type="default" r:id="rId10"/>
      <w:footerReference w:type="default" r:id="rId11"/>
      <w:headerReference w:type="first" r:id="rId12"/>
      <w:pgSz w:w="12240" w:h="15840"/>
      <w:pgMar w:top="1152"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47754" w14:textId="77777777" w:rsidR="00D3789D" w:rsidRDefault="00D3789D" w:rsidP="00C52931">
      <w:pPr>
        <w:spacing w:after="0" w:line="240" w:lineRule="auto"/>
      </w:pPr>
      <w:r>
        <w:separator/>
      </w:r>
    </w:p>
  </w:endnote>
  <w:endnote w:type="continuationSeparator" w:id="0">
    <w:p w14:paraId="1D36B6E9" w14:textId="77777777" w:rsidR="00D3789D" w:rsidRDefault="00D3789D" w:rsidP="00C52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226096"/>
      <w:docPartObj>
        <w:docPartGallery w:val="Page Numbers (Bottom of Page)"/>
        <w:docPartUnique/>
      </w:docPartObj>
    </w:sdtPr>
    <w:sdtEndPr/>
    <w:sdtContent>
      <w:sdt>
        <w:sdtPr>
          <w:id w:val="-1769616900"/>
          <w:docPartObj>
            <w:docPartGallery w:val="Page Numbers (Top of Page)"/>
            <w:docPartUnique/>
          </w:docPartObj>
        </w:sdtPr>
        <w:sdtEndPr/>
        <w:sdtContent>
          <w:p w14:paraId="1FE43909" w14:textId="17624AC1" w:rsidR="00384160" w:rsidRDefault="003841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85060C8" w14:textId="77777777" w:rsidR="00384160" w:rsidRDefault="00384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9A786" w14:textId="77777777" w:rsidR="00D3789D" w:rsidRDefault="00D3789D" w:rsidP="00C52931">
      <w:pPr>
        <w:spacing w:after="0" w:line="240" w:lineRule="auto"/>
      </w:pPr>
      <w:r>
        <w:separator/>
      </w:r>
    </w:p>
  </w:footnote>
  <w:footnote w:type="continuationSeparator" w:id="0">
    <w:p w14:paraId="4E0119CA" w14:textId="77777777" w:rsidR="00D3789D" w:rsidRDefault="00D3789D" w:rsidP="00C52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F9BC" w14:textId="52B6DCCA" w:rsidR="00C52931" w:rsidRDefault="00C52931">
    <w:pPr>
      <w:pStyle w:val="Header"/>
    </w:pPr>
  </w:p>
  <w:p w14:paraId="34EE13E8" w14:textId="77777777" w:rsidR="00C52931" w:rsidRDefault="00C52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E909" w14:textId="77777777" w:rsidR="00C52931" w:rsidRDefault="00C52931" w:rsidP="00C52931">
    <w:pPr>
      <w:pStyle w:val="Header"/>
      <w:jc w:val="right"/>
    </w:pPr>
    <w:r>
      <w:rPr>
        <w:noProof/>
      </w:rPr>
      <w:drawing>
        <wp:anchor distT="0" distB="0" distL="114300" distR="114300" simplePos="0" relativeHeight="251659264" behindDoc="0" locked="0" layoutInCell="1" allowOverlap="1" wp14:anchorId="14F63B07" wp14:editId="72BEBD5B">
          <wp:simplePos x="0" y="0"/>
          <wp:positionH relativeFrom="margin">
            <wp:align>left</wp:align>
          </wp:positionH>
          <wp:positionV relativeFrom="paragraph">
            <wp:posOffset>-7620</wp:posOffset>
          </wp:positionV>
          <wp:extent cx="3238500" cy="568514"/>
          <wp:effectExtent l="0" t="0" r="0" b="3175"/>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38500" cy="568514"/>
                  </a:xfrm>
                  <a:prstGeom prst="rect">
                    <a:avLst/>
                  </a:prstGeom>
                </pic:spPr>
              </pic:pic>
            </a:graphicData>
          </a:graphic>
        </wp:anchor>
      </w:drawing>
    </w:r>
    <w:r>
      <w:t xml:space="preserve"> Saturday, April 22, 2023 </w:t>
    </w:r>
  </w:p>
  <w:p w14:paraId="4A41D4BD" w14:textId="4397C60C" w:rsidR="00C52931" w:rsidRDefault="00631B7B" w:rsidP="00C52931">
    <w:pPr>
      <w:pStyle w:val="Header"/>
      <w:jc w:val="right"/>
    </w:pPr>
    <w:r>
      <w:t>1-5pm</w:t>
    </w:r>
  </w:p>
  <w:p w14:paraId="5A8B21A9" w14:textId="77777777" w:rsidR="00C52931" w:rsidRDefault="00C52931" w:rsidP="00C52931">
    <w:pPr>
      <w:pStyle w:val="Header"/>
      <w:jc w:val="right"/>
    </w:pPr>
    <w:r w:rsidRPr="00265680">
      <w:t>New Orleans Ernest N. Morial Convention Center</w:t>
    </w:r>
  </w:p>
  <w:p w14:paraId="269749C8" w14:textId="77777777" w:rsidR="00C52931" w:rsidRDefault="00C52931" w:rsidP="00C52931">
    <w:pPr>
      <w:pStyle w:val="Header"/>
      <w:jc w:val="right"/>
    </w:pPr>
    <w:r>
      <w:t>New Orleans, La</w:t>
    </w:r>
  </w:p>
  <w:p w14:paraId="6C56D0FA" w14:textId="77777777" w:rsidR="00C52931" w:rsidRDefault="00C52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236B"/>
    <w:multiLevelType w:val="hybridMultilevel"/>
    <w:tmpl w:val="017A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E4195"/>
    <w:multiLevelType w:val="hybridMultilevel"/>
    <w:tmpl w:val="FD5EA61C"/>
    <w:lvl w:ilvl="0" w:tplc="4A8E793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B3BC0"/>
    <w:multiLevelType w:val="hybridMultilevel"/>
    <w:tmpl w:val="D27C68F2"/>
    <w:lvl w:ilvl="0" w:tplc="4A8E79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A16834"/>
    <w:multiLevelType w:val="hybridMultilevel"/>
    <w:tmpl w:val="BAAC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E54599"/>
    <w:multiLevelType w:val="hybridMultilevel"/>
    <w:tmpl w:val="90C42B22"/>
    <w:lvl w:ilvl="0" w:tplc="4A8E793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2618743">
    <w:abstractNumId w:val="3"/>
  </w:num>
  <w:num w:numId="2" w16cid:durableId="1948926477">
    <w:abstractNumId w:val="1"/>
  </w:num>
  <w:num w:numId="3" w16cid:durableId="2113161457">
    <w:abstractNumId w:val="4"/>
  </w:num>
  <w:num w:numId="4" w16cid:durableId="86660663">
    <w:abstractNumId w:val="2"/>
  </w:num>
  <w:num w:numId="5" w16cid:durableId="248656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2tjQ0sDA1NjCyMDVT0lEKTi0uzszPAykwrgUAvO9eCSwAAAA="/>
  </w:docVars>
  <w:rsids>
    <w:rsidRoot w:val="00C52931"/>
    <w:rsid w:val="00035318"/>
    <w:rsid w:val="000B0F26"/>
    <w:rsid w:val="00153AE4"/>
    <w:rsid w:val="00193694"/>
    <w:rsid w:val="001B387D"/>
    <w:rsid w:val="00342F74"/>
    <w:rsid w:val="003635A3"/>
    <w:rsid w:val="00384160"/>
    <w:rsid w:val="003A2EC3"/>
    <w:rsid w:val="003D5A8E"/>
    <w:rsid w:val="00400401"/>
    <w:rsid w:val="004240A8"/>
    <w:rsid w:val="00493B8C"/>
    <w:rsid w:val="00571DA2"/>
    <w:rsid w:val="005B49E6"/>
    <w:rsid w:val="005C6D12"/>
    <w:rsid w:val="00631B7B"/>
    <w:rsid w:val="00645B6F"/>
    <w:rsid w:val="007A5544"/>
    <w:rsid w:val="00896F97"/>
    <w:rsid w:val="00982EAB"/>
    <w:rsid w:val="0099117D"/>
    <w:rsid w:val="009F7C79"/>
    <w:rsid w:val="00AB06A1"/>
    <w:rsid w:val="00BA47FA"/>
    <w:rsid w:val="00BE0EFA"/>
    <w:rsid w:val="00C52931"/>
    <w:rsid w:val="00D3789D"/>
    <w:rsid w:val="00D60886"/>
    <w:rsid w:val="00DC2913"/>
    <w:rsid w:val="00DE518E"/>
    <w:rsid w:val="00E8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E23C8"/>
  <w15:chartTrackingRefBased/>
  <w15:docId w15:val="{9310BEB2-2120-41BE-B52D-93F2C488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931"/>
  </w:style>
  <w:style w:type="paragraph" w:styleId="Heading1">
    <w:name w:val="heading 1"/>
    <w:basedOn w:val="Normal"/>
    <w:next w:val="Normal"/>
    <w:link w:val="Heading1Char"/>
    <w:uiPriority w:val="9"/>
    <w:qFormat/>
    <w:rsid w:val="00C52931"/>
    <w:pPr>
      <w:keepNext/>
      <w:keepLines/>
      <w:spacing w:before="120" w:after="0"/>
      <w:outlineLvl w:val="0"/>
    </w:pPr>
    <w:rPr>
      <w:rFonts w:asciiTheme="majorHAnsi" w:eastAsiaTheme="majorEastAsia" w:hAnsiTheme="majorHAnsi" w:cstheme="majorBidi"/>
      <w:b/>
      <w:color w:val="44546A" w:themeColor="text2"/>
      <w:sz w:val="28"/>
      <w:szCs w:val="32"/>
    </w:rPr>
  </w:style>
  <w:style w:type="paragraph" w:styleId="Heading2">
    <w:name w:val="heading 2"/>
    <w:basedOn w:val="Normal"/>
    <w:next w:val="Normal"/>
    <w:link w:val="Heading2Char"/>
    <w:uiPriority w:val="9"/>
    <w:unhideWhenUsed/>
    <w:qFormat/>
    <w:rsid w:val="00C52931"/>
    <w:pPr>
      <w:keepNext/>
      <w:keepLines/>
      <w:spacing w:before="120" w:after="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C52931"/>
    <w:pPr>
      <w:keepNext/>
      <w:keepLines/>
      <w:spacing w:before="40" w:after="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semiHidden/>
    <w:unhideWhenUsed/>
    <w:qFormat/>
    <w:rsid w:val="004240A8"/>
    <w:pPr>
      <w:keepNext/>
      <w:keepLines/>
      <w:spacing w:before="40" w:after="0"/>
      <w:outlineLvl w:val="3"/>
    </w:pPr>
    <w:rPr>
      <w:rFonts w:asciiTheme="majorHAnsi" w:eastAsiaTheme="majorEastAsia" w:hAnsiTheme="majorHAnsi" w:cstheme="majorBidi"/>
      <w:i/>
      <w:iCs/>
      <w:color w:val="C86A07" w:themeColor="accent1" w:themeShade="BF"/>
    </w:rPr>
  </w:style>
  <w:style w:type="paragraph" w:styleId="Heading5">
    <w:name w:val="heading 5"/>
    <w:basedOn w:val="Normal"/>
    <w:next w:val="Normal"/>
    <w:link w:val="Heading5Char"/>
    <w:uiPriority w:val="9"/>
    <w:semiHidden/>
    <w:unhideWhenUsed/>
    <w:qFormat/>
    <w:rsid w:val="004240A8"/>
    <w:pPr>
      <w:keepNext/>
      <w:keepLines/>
      <w:spacing w:before="40" w:after="0"/>
      <w:outlineLvl w:val="4"/>
    </w:pPr>
    <w:rPr>
      <w:rFonts w:asciiTheme="majorHAnsi" w:eastAsiaTheme="majorEastAsia" w:hAnsiTheme="majorHAnsi" w:cstheme="majorBidi"/>
      <w:color w:val="C86A07" w:themeColor="accent1" w:themeShade="BF"/>
    </w:rPr>
  </w:style>
  <w:style w:type="paragraph" w:styleId="Heading6">
    <w:name w:val="heading 6"/>
    <w:basedOn w:val="Normal"/>
    <w:next w:val="Normal"/>
    <w:link w:val="Heading6Char"/>
    <w:uiPriority w:val="9"/>
    <w:semiHidden/>
    <w:unhideWhenUsed/>
    <w:qFormat/>
    <w:rsid w:val="004240A8"/>
    <w:pPr>
      <w:keepNext/>
      <w:keepLines/>
      <w:spacing w:before="40" w:after="0"/>
      <w:outlineLvl w:val="5"/>
    </w:pPr>
    <w:rPr>
      <w:rFonts w:asciiTheme="majorHAnsi" w:eastAsiaTheme="majorEastAsia" w:hAnsiTheme="majorHAnsi" w:cstheme="majorBidi"/>
      <w:color w:val="844604" w:themeColor="accent1" w:themeShade="7F"/>
    </w:rPr>
  </w:style>
  <w:style w:type="paragraph" w:styleId="Heading7">
    <w:name w:val="heading 7"/>
    <w:basedOn w:val="Normal"/>
    <w:next w:val="Normal"/>
    <w:link w:val="Heading7Char"/>
    <w:uiPriority w:val="9"/>
    <w:semiHidden/>
    <w:unhideWhenUsed/>
    <w:qFormat/>
    <w:rsid w:val="004240A8"/>
    <w:pPr>
      <w:keepNext/>
      <w:keepLines/>
      <w:spacing w:before="40" w:after="0"/>
      <w:outlineLvl w:val="6"/>
    </w:pPr>
    <w:rPr>
      <w:rFonts w:asciiTheme="majorHAnsi" w:eastAsiaTheme="majorEastAsia" w:hAnsiTheme="majorHAnsi" w:cstheme="majorBidi"/>
      <w:i/>
      <w:iCs/>
      <w:color w:val="844604" w:themeColor="accent1" w:themeShade="7F"/>
    </w:rPr>
  </w:style>
  <w:style w:type="paragraph" w:styleId="Heading8">
    <w:name w:val="heading 8"/>
    <w:basedOn w:val="Normal"/>
    <w:next w:val="Normal"/>
    <w:link w:val="Heading8Char"/>
    <w:uiPriority w:val="9"/>
    <w:semiHidden/>
    <w:unhideWhenUsed/>
    <w:qFormat/>
    <w:rsid w:val="004240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40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0A8"/>
    <w:pPr>
      <w:ind w:left="720"/>
      <w:contextualSpacing/>
    </w:pPr>
  </w:style>
  <w:style w:type="character" w:customStyle="1" w:styleId="Heading1Char">
    <w:name w:val="Heading 1 Char"/>
    <w:basedOn w:val="DefaultParagraphFont"/>
    <w:link w:val="Heading1"/>
    <w:uiPriority w:val="9"/>
    <w:rsid w:val="00C52931"/>
    <w:rPr>
      <w:rFonts w:asciiTheme="majorHAnsi" w:eastAsiaTheme="majorEastAsia" w:hAnsiTheme="majorHAnsi" w:cstheme="majorBidi"/>
      <w:b/>
      <w:color w:val="44546A" w:themeColor="text2"/>
      <w:sz w:val="28"/>
      <w:szCs w:val="32"/>
    </w:rPr>
  </w:style>
  <w:style w:type="character" w:customStyle="1" w:styleId="Heading2Char">
    <w:name w:val="Heading 2 Char"/>
    <w:basedOn w:val="DefaultParagraphFont"/>
    <w:link w:val="Heading2"/>
    <w:uiPriority w:val="9"/>
    <w:rsid w:val="00C52931"/>
    <w:rPr>
      <w:rFonts w:asciiTheme="majorHAnsi" w:eastAsiaTheme="majorEastAsia" w:hAnsiTheme="majorHAnsi" w:cstheme="majorBidi"/>
      <w:b/>
      <w:color w:val="000000" w:themeColor="text1"/>
      <w:sz w:val="26"/>
      <w:szCs w:val="26"/>
    </w:rPr>
  </w:style>
  <w:style w:type="character" w:customStyle="1" w:styleId="Heading3Char">
    <w:name w:val="Heading 3 Char"/>
    <w:basedOn w:val="DefaultParagraphFont"/>
    <w:link w:val="Heading3"/>
    <w:uiPriority w:val="9"/>
    <w:rsid w:val="00C52931"/>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semiHidden/>
    <w:rsid w:val="004240A8"/>
    <w:rPr>
      <w:rFonts w:asciiTheme="majorHAnsi" w:eastAsiaTheme="majorEastAsia" w:hAnsiTheme="majorHAnsi" w:cstheme="majorBidi"/>
      <w:i/>
      <w:iCs/>
      <w:color w:val="C86A07" w:themeColor="accent1" w:themeShade="BF"/>
    </w:rPr>
  </w:style>
  <w:style w:type="character" w:customStyle="1" w:styleId="Heading5Char">
    <w:name w:val="Heading 5 Char"/>
    <w:basedOn w:val="DefaultParagraphFont"/>
    <w:link w:val="Heading5"/>
    <w:uiPriority w:val="9"/>
    <w:semiHidden/>
    <w:rsid w:val="004240A8"/>
    <w:rPr>
      <w:rFonts w:asciiTheme="majorHAnsi" w:eastAsiaTheme="majorEastAsia" w:hAnsiTheme="majorHAnsi" w:cstheme="majorBidi"/>
      <w:color w:val="C86A07" w:themeColor="accent1" w:themeShade="BF"/>
    </w:rPr>
  </w:style>
  <w:style w:type="character" w:customStyle="1" w:styleId="Heading6Char">
    <w:name w:val="Heading 6 Char"/>
    <w:basedOn w:val="DefaultParagraphFont"/>
    <w:link w:val="Heading6"/>
    <w:uiPriority w:val="9"/>
    <w:semiHidden/>
    <w:rsid w:val="004240A8"/>
    <w:rPr>
      <w:rFonts w:asciiTheme="majorHAnsi" w:eastAsiaTheme="majorEastAsia" w:hAnsiTheme="majorHAnsi" w:cstheme="majorBidi"/>
      <w:color w:val="844604" w:themeColor="accent1" w:themeShade="7F"/>
    </w:rPr>
  </w:style>
  <w:style w:type="character" w:customStyle="1" w:styleId="Heading7Char">
    <w:name w:val="Heading 7 Char"/>
    <w:basedOn w:val="DefaultParagraphFont"/>
    <w:link w:val="Heading7"/>
    <w:uiPriority w:val="9"/>
    <w:semiHidden/>
    <w:rsid w:val="004240A8"/>
    <w:rPr>
      <w:rFonts w:asciiTheme="majorHAnsi" w:eastAsiaTheme="majorEastAsia" w:hAnsiTheme="majorHAnsi" w:cstheme="majorBidi"/>
      <w:i/>
      <w:iCs/>
      <w:color w:val="844604" w:themeColor="accent1" w:themeShade="7F"/>
    </w:rPr>
  </w:style>
  <w:style w:type="character" w:customStyle="1" w:styleId="Heading8Char">
    <w:name w:val="Heading 8 Char"/>
    <w:basedOn w:val="DefaultParagraphFont"/>
    <w:link w:val="Heading8"/>
    <w:uiPriority w:val="9"/>
    <w:semiHidden/>
    <w:rsid w:val="004240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40A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4240A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C52931"/>
    <w:pPr>
      <w:spacing w:after="0" w:line="240" w:lineRule="auto"/>
      <w:contextualSpacing/>
    </w:pPr>
    <w:rPr>
      <w:rFonts w:asciiTheme="majorHAnsi" w:eastAsiaTheme="majorEastAsia" w:hAnsiTheme="majorHAnsi" w:cstheme="majorBidi"/>
      <w:b/>
      <w:color w:val="A42035" w:themeColor="accent3"/>
      <w:spacing w:val="-10"/>
      <w:kern w:val="28"/>
      <w:sz w:val="32"/>
      <w:szCs w:val="56"/>
    </w:rPr>
  </w:style>
  <w:style w:type="character" w:customStyle="1" w:styleId="TitleChar">
    <w:name w:val="Title Char"/>
    <w:basedOn w:val="DefaultParagraphFont"/>
    <w:link w:val="Title"/>
    <w:uiPriority w:val="10"/>
    <w:rsid w:val="00C52931"/>
    <w:rPr>
      <w:rFonts w:asciiTheme="majorHAnsi" w:eastAsiaTheme="majorEastAsia" w:hAnsiTheme="majorHAnsi" w:cstheme="majorBidi"/>
      <w:b/>
      <w:color w:val="A42035" w:themeColor="accent3"/>
      <w:spacing w:val="-10"/>
      <w:kern w:val="28"/>
      <w:sz w:val="32"/>
      <w:szCs w:val="56"/>
    </w:rPr>
  </w:style>
  <w:style w:type="paragraph" w:styleId="Subtitle">
    <w:name w:val="Subtitle"/>
    <w:basedOn w:val="Normal"/>
    <w:next w:val="Normal"/>
    <w:link w:val="SubtitleChar"/>
    <w:uiPriority w:val="11"/>
    <w:qFormat/>
    <w:rsid w:val="004240A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240A8"/>
    <w:rPr>
      <w:rFonts w:eastAsiaTheme="minorEastAsia"/>
      <w:color w:val="5A5A5A" w:themeColor="text1" w:themeTint="A5"/>
      <w:spacing w:val="15"/>
    </w:rPr>
  </w:style>
  <w:style w:type="character" w:styleId="Strong">
    <w:name w:val="Strong"/>
    <w:basedOn w:val="DefaultParagraphFont"/>
    <w:uiPriority w:val="22"/>
    <w:qFormat/>
    <w:rsid w:val="004240A8"/>
    <w:rPr>
      <w:b/>
      <w:bCs/>
    </w:rPr>
  </w:style>
  <w:style w:type="character" w:styleId="Emphasis">
    <w:name w:val="Emphasis"/>
    <w:uiPriority w:val="20"/>
    <w:qFormat/>
    <w:rsid w:val="004240A8"/>
    <w:rPr>
      <w:i/>
      <w:iCs/>
    </w:rPr>
  </w:style>
  <w:style w:type="paragraph" w:styleId="NoSpacing">
    <w:name w:val="No Spacing"/>
    <w:uiPriority w:val="1"/>
    <w:qFormat/>
    <w:rsid w:val="004240A8"/>
    <w:pPr>
      <w:spacing w:after="0" w:line="240" w:lineRule="auto"/>
    </w:pPr>
  </w:style>
  <w:style w:type="paragraph" w:styleId="Quote">
    <w:name w:val="Quote"/>
    <w:basedOn w:val="Normal"/>
    <w:next w:val="Normal"/>
    <w:link w:val="QuoteChar"/>
    <w:uiPriority w:val="29"/>
    <w:qFormat/>
    <w:rsid w:val="004240A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240A8"/>
    <w:rPr>
      <w:i/>
      <w:iCs/>
      <w:color w:val="404040" w:themeColor="text1" w:themeTint="BF"/>
    </w:rPr>
  </w:style>
  <w:style w:type="paragraph" w:styleId="IntenseQuote">
    <w:name w:val="Intense Quote"/>
    <w:basedOn w:val="Normal"/>
    <w:next w:val="Normal"/>
    <w:link w:val="IntenseQuoteChar"/>
    <w:uiPriority w:val="30"/>
    <w:qFormat/>
    <w:rsid w:val="004240A8"/>
    <w:pPr>
      <w:pBdr>
        <w:top w:val="single" w:sz="4" w:space="10" w:color="F78E1E" w:themeColor="accent1"/>
        <w:bottom w:val="single" w:sz="4" w:space="10" w:color="F78E1E" w:themeColor="accent1"/>
      </w:pBdr>
      <w:spacing w:before="360" w:after="360"/>
      <w:ind w:left="864" w:right="864"/>
      <w:jc w:val="center"/>
    </w:pPr>
    <w:rPr>
      <w:i/>
      <w:iCs/>
      <w:color w:val="F78E1E" w:themeColor="accent1"/>
    </w:rPr>
  </w:style>
  <w:style w:type="character" w:customStyle="1" w:styleId="IntenseQuoteChar">
    <w:name w:val="Intense Quote Char"/>
    <w:basedOn w:val="DefaultParagraphFont"/>
    <w:link w:val="IntenseQuote"/>
    <w:uiPriority w:val="30"/>
    <w:rsid w:val="004240A8"/>
    <w:rPr>
      <w:i/>
      <w:iCs/>
      <w:color w:val="F78E1E" w:themeColor="accent1"/>
    </w:rPr>
  </w:style>
  <w:style w:type="character" w:styleId="SubtleEmphasis">
    <w:name w:val="Subtle Emphasis"/>
    <w:basedOn w:val="DefaultParagraphFont"/>
    <w:uiPriority w:val="19"/>
    <w:qFormat/>
    <w:rsid w:val="004240A8"/>
    <w:rPr>
      <w:i/>
      <w:iCs/>
      <w:color w:val="404040" w:themeColor="text1" w:themeTint="BF"/>
    </w:rPr>
  </w:style>
  <w:style w:type="character" w:styleId="IntenseEmphasis">
    <w:name w:val="Intense Emphasis"/>
    <w:basedOn w:val="DefaultParagraphFont"/>
    <w:uiPriority w:val="21"/>
    <w:qFormat/>
    <w:rsid w:val="004240A8"/>
    <w:rPr>
      <w:i/>
      <w:iCs/>
      <w:color w:val="F78E1E" w:themeColor="accent1"/>
    </w:rPr>
  </w:style>
  <w:style w:type="character" w:styleId="SubtleReference">
    <w:name w:val="Subtle Reference"/>
    <w:basedOn w:val="DefaultParagraphFont"/>
    <w:uiPriority w:val="31"/>
    <w:qFormat/>
    <w:rsid w:val="004240A8"/>
    <w:rPr>
      <w:smallCaps/>
      <w:color w:val="5A5A5A" w:themeColor="text1" w:themeTint="A5"/>
    </w:rPr>
  </w:style>
  <w:style w:type="character" w:styleId="IntenseReference">
    <w:name w:val="Intense Reference"/>
    <w:basedOn w:val="DefaultParagraphFont"/>
    <w:uiPriority w:val="32"/>
    <w:qFormat/>
    <w:rsid w:val="004240A8"/>
    <w:rPr>
      <w:b/>
      <w:bCs/>
      <w:smallCaps/>
      <w:color w:val="F78E1E" w:themeColor="accent1"/>
      <w:spacing w:val="5"/>
    </w:rPr>
  </w:style>
  <w:style w:type="character" w:styleId="BookTitle">
    <w:name w:val="Book Title"/>
    <w:basedOn w:val="DefaultParagraphFont"/>
    <w:uiPriority w:val="33"/>
    <w:qFormat/>
    <w:rsid w:val="004240A8"/>
    <w:rPr>
      <w:b/>
      <w:bCs/>
      <w:i/>
      <w:iCs/>
      <w:spacing w:val="5"/>
    </w:rPr>
  </w:style>
  <w:style w:type="paragraph" w:styleId="TOCHeading">
    <w:name w:val="TOC Heading"/>
    <w:basedOn w:val="Heading1"/>
    <w:next w:val="Normal"/>
    <w:uiPriority w:val="39"/>
    <w:semiHidden/>
    <w:unhideWhenUsed/>
    <w:qFormat/>
    <w:rsid w:val="004240A8"/>
    <w:pPr>
      <w:spacing w:before="240"/>
      <w:outlineLvl w:val="9"/>
    </w:pPr>
    <w:rPr>
      <w:b w:val="0"/>
      <w:color w:val="C86A07" w:themeColor="accent1" w:themeShade="BF"/>
      <w:sz w:val="32"/>
    </w:rPr>
  </w:style>
  <w:style w:type="paragraph" w:customStyle="1" w:styleId="Italics">
    <w:name w:val="Italics"/>
    <w:basedOn w:val="Normal"/>
    <w:rsid w:val="004240A8"/>
    <w:rPr>
      <w:i/>
      <w:iCs/>
    </w:rPr>
  </w:style>
  <w:style w:type="table" w:customStyle="1" w:styleId="Style1">
    <w:name w:val="Style1"/>
    <w:basedOn w:val="TableNormal"/>
    <w:uiPriority w:val="99"/>
    <w:rsid w:val="0015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Pr>
    <w:trPr>
      <w:cantSplit/>
    </w:trPr>
  </w:style>
  <w:style w:type="paragraph" w:styleId="Header">
    <w:name w:val="header"/>
    <w:basedOn w:val="Normal"/>
    <w:link w:val="HeaderChar"/>
    <w:uiPriority w:val="99"/>
    <w:unhideWhenUsed/>
    <w:rsid w:val="00C52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931"/>
  </w:style>
  <w:style w:type="paragraph" w:styleId="Footer">
    <w:name w:val="footer"/>
    <w:basedOn w:val="Normal"/>
    <w:link w:val="FooterChar"/>
    <w:uiPriority w:val="99"/>
    <w:unhideWhenUsed/>
    <w:rsid w:val="00C52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931"/>
  </w:style>
  <w:style w:type="character" w:styleId="CommentReference">
    <w:name w:val="annotation reference"/>
    <w:basedOn w:val="DefaultParagraphFont"/>
    <w:uiPriority w:val="99"/>
    <w:semiHidden/>
    <w:unhideWhenUsed/>
    <w:rsid w:val="00400401"/>
    <w:rPr>
      <w:sz w:val="16"/>
      <w:szCs w:val="16"/>
    </w:rPr>
  </w:style>
  <w:style w:type="paragraph" w:styleId="CommentText">
    <w:name w:val="annotation text"/>
    <w:basedOn w:val="Normal"/>
    <w:link w:val="CommentTextChar"/>
    <w:uiPriority w:val="99"/>
    <w:unhideWhenUsed/>
    <w:rsid w:val="00400401"/>
    <w:pPr>
      <w:spacing w:line="240" w:lineRule="auto"/>
    </w:pPr>
    <w:rPr>
      <w:sz w:val="20"/>
      <w:szCs w:val="20"/>
    </w:rPr>
  </w:style>
  <w:style w:type="character" w:customStyle="1" w:styleId="CommentTextChar">
    <w:name w:val="Comment Text Char"/>
    <w:basedOn w:val="DefaultParagraphFont"/>
    <w:link w:val="CommentText"/>
    <w:uiPriority w:val="99"/>
    <w:rsid w:val="00400401"/>
    <w:rPr>
      <w:sz w:val="20"/>
      <w:szCs w:val="20"/>
    </w:rPr>
  </w:style>
  <w:style w:type="paragraph" w:styleId="CommentSubject">
    <w:name w:val="annotation subject"/>
    <w:basedOn w:val="CommentText"/>
    <w:next w:val="CommentText"/>
    <w:link w:val="CommentSubjectChar"/>
    <w:uiPriority w:val="99"/>
    <w:semiHidden/>
    <w:unhideWhenUsed/>
    <w:rsid w:val="00400401"/>
    <w:rPr>
      <w:b/>
      <w:bCs/>
    </w:rPr>
  </w:style>
  <w:style w:type="character" w:customStyle="1" w:styleId="CommentSubjectChar">
    <w:name w:val="Comment Subject Char"/>
    <w:basedOn w:val="CommentTextChar"/>
    <w:link w:val="CommentSubject"/>
    <w:uiPriority w:val="99"/>
    <w:semiHidden/>
    <w:rsid w:val="004004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RVOColorsCC">
  <a:themeElements>
    <a:clrScheme name="ARVO-Colors">
      <a:dk1>
        <a:sysClr val="windowText" lastClr="000000"/>
      </a:dk1>
      <a:lt1>
        <a:sysClr val="window" lastClr="FFFFFF"/>
      </a:lt1>
      <a:dk2>
        <a:srgbClr val="44546A"/>
      </a:dk2>
      <a:lt2>
        <a:srgbClr val="E7E6E6"/>
      </a:lt2>
      <a:accent1>
        <a:srgbClr val="F78E1E"/>
      </a:accent1>
      <a:accent2>
        <a:srgbClr val="2C5B99"/>
      </a:accent2>
      <a:accent3>
        <a:srgbClr val="A42035"/>
      </a:accent3>
      <a:accent4>
        <a:srgbClr val="002F65"/>
      </a:accent4>
      <a:accent5>
        <a:srgbClr val="97C5EB"/>
      </a:accent5>
      <a:accent6>
        <a:srgbClr val="7E99AA"/>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88B1CF00A9B34B87D02841CA738373" ma:contentTypeVersion="18" ma:contentTypeDescription="Create a new document." ma:contentTypeScope="" ma:versionID="08e74c559c8a435caf863abc05784744">
  <xsd:schema xmlns:xsd="http://www.w3.org/2001/XMLSchema" xmlns:xs="http://www.w3.org/2001/XMLSchema" xmlns:p="http://schemas.microsoft.com/office/2006/metadata/properties" xmlns:ns1="http://schemas.microsoft.com/sharepoint/v3" xmlns:ns2="caeefea6-9df6-4ff6-9f98-2e6283677c3d" xmlns:ns3="725f34c3-3c3b-4ab5-a09d-c9b442fcc7b7" targetNamespace="http://schemas.microsoft.com/office/2006/metadata/properties" ma:root="true" ma:fieldsID="f90228cad195d0cc40b5c14b82b9caa0" ns1:_="" ns2:_="" ns3:_="">
    <xsd:import namespace="http://schemas.microsoft.com/sharepoint/v3"/>
    <xsd:import namespace="caeefea6-9df6-4ff6-9f98-2e6283677c3d"/>
    <xsd:import namespace="725f34c3-3c3b-4ab5-a09d-c9b442fcc7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eefea6-9df6-4ff6-9f98-2e6283677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26338b8-b3a7-4941-95ef-e444c73a70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5f34c3-3c3b-4ab5-a09d-c9b442fcc7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e5b7eaa-811d-44a0-a189-d398ebef0c7e}" ma:internalName="TaxCatchAll" ma:showField="CatchAllData" ma:web="725f34c3-3c3b-4ab5-a09d-c9b442fcc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25f34c3-3c3b-4ab5-a09d-c9b442fcc7b7" xsi:nil="true"/>
    <lcf76f155ced4ddcb4097134ff3c332f xmlns="caeefea6-9df6-4ff6-9f98-2e6283677c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8002BC-2957-4BA7-9393-AEC327ED5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eefea6-9df6-4ff6-9f98-2e6283677c3d"/>
    <ds:schemaRef ds:uri="725f34c3-3c3b-4ab5-a09d-c9b442fcc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17113-C7D2-4FD9-AC65-F3F15C527807}">
  <ds:schemaRefs>
    <ds:schemaRef ds:uri="caeefea6-9df6-4ff6-9f98-2e6283677c3d"/>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725f34c3-3c3b-4ab5-a09d-c9b442fcc7b7"/>
  </ds:schemaRefs>
</ds:datastoreItem>
</file>

<file path=customXml/itemProps3.xml><?xml version="1.0" encoding="utf-8"?>
<ds:datastoreItem xmlns:ds="http://schemas.openxmlformats.org/officeDocument/2006/customXml" ds:itemID="{C510F0DF-B9E3-41CA-B428-BC292FD15F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1985</Words>
  <Characters>11320</Characters>
  <Application>Microsoft Office Word</Application>
  <DocSecurity>0</DocSecurity>
  <Lines>94</Lines>
  <Paragraphs>26</Paragraphs>
  <ScaleCrop>false</ScaleCrop>
  <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Conley</dc:creator>
  <cp:keywords/>
  <dc:description/>
  <cp:lastModifiedBy>Cathy Conley</cp:lastModifiedBy>
  <cp:revision>17</cp:revision>
  <dcterms:created xsi:type="dcterms:W3CDTF">2023-02-08T21:09:00Z</dcterms:created>
  <dcterms:modified xsi:type="dcterms:W3CDTF">2023-03-02T15:48:00Z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0x0101004C88B1CF00A9B34B87D02841CA738373</vt:lpwstr>
  </property>
  <property fmtid="{D5CDD505-2E9C-101B-9397-08002B2CF9AE}" pid="3" name="MediaServiceImageTags">
    <vt:lpwstr/>
  </property>
</Properties>
</file>